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AA2E23" w14:textId="77777777" w:rsidR="00B95F73" w:rsidRPr="00772247" w:rsidRDefault="00B95F73" w:rsidP="00772247">
      <w:pPr>
        <w:jc w:val="center"/>
        <w:rPr>
          <w:rFonts w:eastAsia="Times New Roman"/>
          <w:b/>
          <w:color w:val="000000" w:themeColor="text1"/>
        </w:rPr>
      </w:pPr>
      <w:r w:rsidRPr="00772247">
        <w:rPr>
          <w:rFonts w:eastAsia="Times New Roman"/>
          <w:b/>
          <w:color w:val="000000" w:themeColor="text1"/>
        </w:rPr>
        <w:t>BUILDING LEVEL ENERGY CONSUMPTION REPORT</w:t>
      </w:r>
    </w:p>
    <w:p w14:paraId="78B89C93" w14:textId="77777777" w:rsidR="00B95F73" w:rsidRPr="00772247" w:rsidRDefault="00B95F73" w:rsidP="00772247">
      <w:pPr>
        <w:jc w:val="center"/>
        <w:rPr>
          <w:rFonts w:eastAsia="Times New Roman"/>
          <w:b/>
          <w:color w:val="000000" w:themeColor="text1"/>
        </w:rPr>
      </w:pPr>
    </w:p>
    <w:p w14:paraId="5D5BA585" w14:textId="77777777" w:rsidR="00B95F73" w:rsidRPr="00772247" w:rsidRDefault="00B95F73" w:rsidP="00772247">
      <w:pPr>
        <w:jc w:val="center"/>
        <w:rPr>
          <w:rFonts w:eastAsia="Times New Roman"/>
          <w:b/>
          <w:color w:val="000000" w:themeColor="text1"/>
        </w:rPr>
      </w:pPr>
      <w:r w:rsidRPr="00772247">
        <w:rPr>
          <w:rFonts w:eastAsia="Times New Roman"/>
          <w:b/>
          <w:color w:val="000000" w:themeColor="text1"/>
        </w:rPr>
        <w:t>Spring 2017</w:t>
      </w:r>
    </w:p>
    <w:p w14:paraId="2CBEB457" w14:textId="77777777" w:rsidR="00E238F4" w:rsidRPr="00772247" w:rsidRDefault="00C82A63" w:rsidP="00772247">
      <w:pPr>
        <w:jc w:val="center"/>
        <w:rPr>
          <w:rFonts w:eastAsia="Times New Roman"/>
          <w:b/>
          <w:color w:val="000000" w:themeColor="text1"/>
        </w:rPr>
      </w:pPr>
      <w:r w:rsidRPr="00772247">
        <w:rPr>
          <w:rFonts w:eastAsia="Times New Roman"/>
          <w:b/>
          <w:color w:val="000000" w:themeColor="text1"/>
        </w:rPr>
        <w:t xml:space="preserve">Prepared by Diliya Murtazina for Morgan Johnston </w:t>
      </w:r>
    </w:p>
    <w:p w14:paraId="1FE9B6E9" w14:textId="2B193636" w:rsidR="00B95F73" w:rsidRPr="00772247" w:rsidRDefault="00C82A63" w:rsidP="00772247">
      <w:pPr>
        <w:jc w:val="center"/>
        <w:rPr>
          <w:rFonts w:eastAsia="Times New Roman"/>
          <w:b/>
          <w:color w:val="000000" w:themeColor="text1"/>
        </w:rPr>
      </w:pPr>
      <w:r w:rsidRPr="00772247">
        <w:rPr>
          <w:rFonts w:eastAsia="Times New Roman"/>
          <w:b/>
          <w:color w:val="000000" w:themeColor="text1"/>
        </w:rPr>
        <w:t>ENVS 491</w:t>
      </w:r>
    </w:p>
    <w:p w14:paraId="292708BC" w14:textId="740FCED5" w:rsidR="00C82A63" w:rsidRPr="00772247" w:rsidRDefault="00C82A63" w:rsidP="00772247">
      <w:pPr>
        <w:jc w:val="center"/>
        <w:rPr>
          <w:rFonts w:eastAsia="Times New Roman"/>
          <w:b/>
          <w:color w:val="000000" w:themeColor="text1"/>
        </w:rPr>
      </w:pPr>
      <w:r w:rsidRPr="00772247">
        <w:rPr>
          <w:rFonts w:eastAsia="Times New Roman"/>
          <w:b/>
          <w:color w:val="000000" w:themeColor="text1"/>
        </w:rPr>
        <w:t xml:space="preserve">with </w:t>
      </w:r>
      <w:r w:rsidR="00831405" w:rsidRPr="00772247">
        <w:rPr>
          <w:rFonts w:eastAsia="Times New Roman"/>
          <w:b/>
          <w:color w:val="000000" w:themeColor="text1"/>
        </w:rPr>
        <w:t xml:space="preserve">the </w:t>
      </w:r>
      <w:r w:rsidRPr="00772247">
        <w:rPr>
          <w:rFonts w:eastAsia="Times New Roman"/>
          <w:b/>
          <w:color w:val="000000" w:themeColor="text1"/>
        </w:rPr>
        <w:t>Institute for Sustainability, Energy and Environment</w:t>
      </w:r>
      <w:r w:rsidR="00831405" w:rsidRPr="00772247">
        <w:rPr>
          <w:rFonts w:eastAsia="Times New Roman"/>
          <w:b/>
          <w:color w:val="000000" w:themeColor="text1"/>
        </w:rPr>
        <w:t xml:space="preserve"> (iSEE).</w:t>
      </w:r>
    </w:p>
    <w:p w14:paraId="731C37A4" w14:textId="77777777" w:rsidR="00C82A63" w:rsidRPr="00772247" w:rsidRDefault="00C82A63" w:rsidP="00772247">
      <w:pPr>
        <w:jc w:val="center"/>
        <w:rPr>
          <w:rFonts w:eastAsia="Times New Roman"/>
          <w:b/>
          <w:color w:val="000000" w:themeColor="text1"/>
        </w:rPr>
      </w:pPr>
    </w:p>
    <w:p w14:paraId="641AC915" w14:textId="77777777" w:rsidR="002F1140" w:rsidRPr="00772247" w:rsidRDefault="002F1140" w:rsidP="00772247">
      <w:pPr>
        <w:jc w:val="center"/>
        <w:rPr>
          <w:rFonts w:eastAsia="Times New Roman"/>
          <w:b/>
          <w:color w:val="000000" w:themeColor="text1"/>
        </w:rPr>
      </w:pPr>
      <w:r w:rsidRPr="00772247">
        <w:rPr>
          <w:rFonts w:eastAsia="Times New Roman"/>
          <w:b/>
          <w:color w:val="000000" w:themeColor="text1"/>
        </w:rPr>
        <w:t>Abstract</w:t>
      </w:r>
    </w:p>
    <w:p w14:paraId="72A10C8F" w14:textId="0BF424AA" w:rsidR="002F1140" w:rsidRPr="00772247" w:rsidRDefault="002F1140" w:rsidP="00772247">
      <w:pPr>
        <w:jc w:val="center"/>
        <w:rPr>
          <w:rFonts w:eastAsia="Times New Roman"/>
          <w:b/>
        </w:rPr>
      </w:pPr>
      <w:r w:rsidRPr="00772247">
        <w:rPr>
          <w:rFonts w:eastAsia="Times New Roman"/>
          <w:b/>
          <w:color w:val="000000" w:themeColor="text1"/>
        </w:rPr>
        <w:t xml:space="preserve">The document has </w:t>
      </w:r>
      <w:r w:rsidR="006C15E5" w:rsidRPr="00772247">
        <w:rPr>
          <w:rFonts w:eastAsia="Times New Roman"/>
          <w:b/>
          <w:color w:val="000000" w:themeColor="text1"/>
        </w:rPr>
        <w:t>two</w:t>
      </w:r>
      <w:r w:rsidRPr="00772247">
        <w:rPr>
          <w:rFonts w:eastAsia="Times New Roman"/>
          <w:b/>
          <w:color w:val="000000" w:themeColor="text1"/>
        </w:rPr>
        <w:t xml:space="preserve"> parts. Part one discusses behavior change strategies for energy efficiency from relevant literature. </w:t>
      </w:r>
      <w:r w:rsidR="00A13734" w:rsidRPr="00772247">
        <w:rPr>
          <w:rFonts w:eastAsia="Times New Roman"/>
          <w:b/>
        </w:rPr>
        <w:t>Understanding consumer</w:t>
      </w:r>
      <w:r w:rsidR="006C15E5" w:rsidRPr="00772247">
        <w:rPr>
          <w:rFonts w:eastAsia="Times New Roman"/>
          <w:b/>
        </w:rPr>
        <w:t>’s</w:t>
      </w:r>
      <w:r w:rsidR="00A13734" w:rsidRPr="00772247">
        <w:rPr>
          <w:rFonts w:eastAsia="Times New Roman"/>
          <w:b/>
        </w:rPr>
        <w:t xml:space="preserve"> behavior </w:t>
      </w:r>
      <w:r w:rsidRPr="00772247">
        <w:rPr>
          <w:rFonts w:eastAsia="Times New Roman"/>
          <w:b/>
        </w:rPr>
        <w:t xml:space="preserve">is also included. Part </w:t>
      </w:r>
      <w:r w:rsidR="006C15E5" w:rsidRPr="00772247">
        <w:rPr>
          <w:rFonts w:eastAsia="Times New Roman"/>
          <w:b/>
        </w:rPr>
        <w:t xml:space="preserve">two </w:t>
      </w:r>
      <w:r w:rsidRPr="00772247">
        <w:rPr>
          <w:rFonts w:eastAsia="Times New Roman"/>
          <w:b/>
        </w:rPr>
        <w:t>gives results</w:t>
      </w:r>
      <w:r w:rsidR="006C15E5" w:rsidRPr="00772247">
        <w:rPr>
          <w:rFonts w:eastAsia="Times New Roman"/>
          <w:b/>
        </w:rPr>
        <w:t xml:space="preserve"> that were achieved, as well as </w:t>
      </w:r>
      <w:r w:rsidRPr="00772247">
        <w:rPr>
          <w:rFonts w:eastAsia="Times New Roman"/>
          <w:b/>
        </w:rPr>
        <w:t xml:space="preserve">instructions. </w:t>
      </w:r>
      <w:r w:rsidR="00C72857" w:rsidRPr="00772247">
        <w:rPr>
          <w:rFonts w:eastAsia="Times New Roman"/>
          <w:b/>
        </w:rPr>
        <w:t xml:space="preserve"> Appendix consist of some photos for promoting energy savings.</w:t>
      </w:r>
    </w:p>
    <w:p w14:paraId="276BB34D" w14:textId="77777777" w:rsidR="002F1140" w:rsidRPr="00772247" w:rsidRDefault="002F1140" w:rsidP="00772247">
      <w:pPr>
        <w:rPr>
          <w:rFonts w:eastAsia="Times New Roman"/>
          <w:b/>
          <w:color w:val="000000" w:themeColor="text1"/>
        </w:rPr>
      </w:pPr>
    </w:p>
    <w:p w14:paraId="3A3C8C8B" w14:textId="77777777" w:rsidR="009A58E6" w:rsidRPr="00772247" w:rsidRDefault="009A58E6" w:rsidP="00772247">
      <w:pPr>
        <w:rPr>
          <w:rFonts w:eastAsia="Times New Roman"/>
          <w:b/>
          <w:i/>
          <w:color w:val="000000" w:themeColor="text1"/>
        </w:rPr>
      </w:pPr>
    </w:p>
    <w:p w14:paraId="1E51DEE1" w14:textId="77777777" w:rsidR="003603B6" w:rsidRPr="00772247" w:rsidRDefault="003603B6" w:rsidP="00772247">
      <w:pPr>
        <w:rPr>
          <w:rFonts w:eastAsia="Times New Roman"/>
          <w:b/>
          <w:i/>
          <w:color w:val="000000" w:themeColor="text1"/>
        </w:rPr>
      </w:pPr>
      <w:r w:rsidRPr="00772247">
        <w:rPr>
          <w:rFonts w:eastAsia="Times New Roman"/>
          <w:b/>
          <w:i/>
          <w:color w:val="000000" w:themeColor="text1"/>
        </w:rPr>
        <w:t>Main take-away points:</w:t>
      </w:r>
    </w:p>
    <w:p w14:paraId="69CA536F" w14:textId="77777777" w:rsidR="002F1140" w:rsidRPr="00772247" w:rsidRDefault="002F1140" w:rsidP="00772247">
      <w:pPr>
        <w:jc w:val="center"/>
        <w:rPr>
          <w:rFonts w:eastAsia="Times New Roman"/>
          <w:b/>
          <w:color w:val="000000" w:themeColor="text1"/>
        </w:rPr>
      </w:pPr>
    </w:p>
    <w:p w14:paraId="31FCEC4D" w14:textId="77777777" w:rsidR="00EB2E16" w:rsidRPr="00772247" w:rsidRDefault="00EB2E16" w:rsidP="00772247">
      <w:pPr>
        <w:jc w:val="center"/>
        <w:rPr>
          <w:rFonts w:eastAsia="Times New Roman"/>
          <w:b/>
          <w:color w:val="000000" w:themeColor="text1"/>
        </w:rPr>
      </w:pPr>
      <w:r w:rsidRPr="00772247">
        <w:rPr>
          <w:rFonts w:eastAsia="Times New Roman"/>
          <w:b/>
          <w:color w:val="000000" w:themeColor="text1"/>
        </w:rPr>
        <w:t>Behavior change strategies</w:t>
      </w:r>
    </w:p>
    <w:p w14:paraId="1D88B763" w14:textId="77777777" w:rsidR="00BF336C" w:rsidRPr="00772247" w:rsidRDefault="00BF336C" w:rsidP="00772247">
      <w:pPr>
        <w:rPr>
          <w:rFonts w:eastAsia="Times New Roman"/>
          <w:b/>
          <w:color w:val="000000" w:themeColor="text1"/>
        </w:rPr>
      </w:pPr>
      <w:r w:rsidRPr="00772247">
        <w:rPr>
          <w:rFonts w:eastAsia="Times New Roman"/>
          <w:b/>
          <w:color w:val="000000" w:themeColor="text1"/>
        </w:rPr>
        <w:t xml:space="preserve">1) Information must be: </w:t>
      </w:r>
    </w:p>
    <w:p w14:paraId="20F00CC3" w14:textId="77777777" w:rsidR="00BF336C" w:rsidRPr="00772247" w:rsidRDefault="00BF336C" w:rsidP="00772247">
      <w:pPr>
        <w:pStyle w:val="ListParagraph"/>
        <w:numPr>
          <w:ilvl w:val="0"/>
          <w:numId w:val="12"/>
        </w:numPr>
        <w:rPr>
          <w:rFonts w:ascii="Times New Roman" w:eastAsia="Times New Roman" w:hAnsi="Times New Roman" w:cs="Times New Roman"/>
          <w:color w:val="000000" w:themeColor="text1"/>
        </w:rPr>
      </w:pPr>
      <w:r w:rsidRPr="00772247">
        <w:rPr>
          <w:rFonts w:ascii="Times New Roman" w:eastAsia="Times New Roman" w:hAnsi="Times New Roman" w:cs="Times New Roman"/>
          <w:color w:val="000000" w:themeColor="text1"/>
        </w:rPr>
        <w:t xml:space="preserve">Easy to understand </w:t>
      </w:r>
    </w:p>
    <w:p w14:paraId="3426465E" w14:textId="77777777" w:rsidR="00BF336C" w:rsidRPr="00772247" w:rsidRDefault="00BF336C" w:rsidP="00772247">
      <w:pPr>
        <w:pStyle w:val="ListParagraph"/>
        <w:numPr>
          <w:ilvl w:val="0"/>
          <w:numId w:val="12"/>
        </w:numPr>
        <w:rPr>
          <w:rFonts w:ascii="Times New Roman" w:eastAsia="Times New Roman" w:hAnsi="Times New Roman" w:cs="Times New Roman"/>
          <w:color w:val="000000" w:themeColor="text1"/>
        </w:rPr>
      </w:pPr>
      <w:r w:rsidRPr="00772247">
        <w:rPr>
          <w:rFonts w:ascii="Times New Roman" w:eastAsia="Times New Roman" w:hAnsi="Times New Roman" w:cs="Times New Roman"/>
          <w:color w:val="000000" w:themeColor="text1"/>
        </w:rPr>
        <w:t xml:space="preserve">Trustable </w:t>
      </w:r>
    </w:p>
    <w:p w14:paraId="3B666076" w14:textId="77777777" w:rsidR="00BF336C" w:rsidRPr="00772247" w:rsidRDefault="00BF336C" w:rsidP="00772247">
      <w:pPr>
        <w:pStyle w:val="ListParagraph"/>
        <w:numPr>
          <w:ilvl w:val="0"/>
          <w:numId w:val="12"/>
        </w:numPr>
        <w:rPr>
          <w:rFonts w:ascii="Times New Roman" w:eastAsia="Times New Roman" w:hAnsi="Times New Roman" w:cs="Times New Roman"/>
          <w:color w:val="000000" w:themeColor="text1"/>
        </w:rPr>
      </w:pPr>
      <w:r w:rsidRPr="00772247">
        <w:rPr>
          <w:rFonts w:ascii="Times New Roman" w:eastAsia="Times New Roman" w:hAnsi="Times New Roman" w:cs="Times New Roman"/>
          <w:color w:val="000000" w:themeColor="text1"/>
        </w:rPr>
        <w:t>Presented in a way that attracts attentions and is remembered</w:t>
      </w:r>
    </w:p>
    <w:p w14:paraId="618F6050" w14:textId="55BFEDC6" w:rsidR="00BF336C" w:rsidRPr="00772247" w:rsidRDefault="00BF336C" w:rsidP="00772247">
      <w:pPr>
        <w:pStyle w:val="ListParagraph"/>
        <w:numPr>
          <w:ilvl w:val="0"/>
          <w:numId w:val="12"/>
        </w:numPr>
        <w:rPr>
          <w:rFonts w:ascii="Times New Roman" w:eastAsia="Times New Roman" w:hAnsi="Times New Roman" w:cs="Times New Roman"/>
          <w:color w:val="000000" w:themeColor="text1"/>
        </w:rPr>
      </w:pPr>
      <w:r w:rsidRPr="00772247">
        <w:rPr>
          <w:rFonts w:ascii="Times New Roman" w:eastAsia="Times New Roman" w:hAnsi="Times New Roman" w:cs="Times New Roman"/>
          <w:color w:val="000000" w:themeColor="text1"/>
        </w:rPr>
        <w:t xml:space="preserve">Delivered as closely as possible –in time and place- to </w:t>
      </w:r>
      <w:r w:rsidR="00A54AC6">
        <w:rPr>
          <w:rFonts w:ascii="Times New Roman" w:eastAsia="Times New Roman" w:hAnsi="Times New Roman" w:cs="Times New Roman"/>
          <w:color w:val="000000" w:themeColor="text1"/>
        </w:rPr>
        <w:t>the relevant choice</w:t>
      </w:r>
    </w:p>
    <w:p w14:paraId="546EC7E9" w14:textId="77777777" w:rsidR="00BF336C" w:rsidRPr="00772247" w:rsidRDefault="00BF336C" w:rsidP="00772247">
      <w:pPr>
        <w:rPr>
          <w:rFonts w:eastAsia="Times New Roman"/>
          <w:color w:val="000000" w:themeColor="text1"/>
        </w:rPr>
      </w:pPr>
    </w:p>
    <w:p w14:paraId="38F8103C" w14:textId="77777777" w:rsidR="00537D9D" w:rsidRPr="00772247" w:rsidRDefault="00BF336C" w:rsidP="00772247">
      <w:pPr>
        <w:rPr>
          <w:rFonts w:eastAsia="Times New Roman"/>
          <w:b/>
          <w:color w:val="000000" w:themeColor="text1"/>
        </w:rPr>
      </w:pPr>
      <w:r w:rsidRPr="00772247">
        <w:rPr>
          <w:rFonts w:eastAsia="Times New Roman"/>
          <w:b/>
          <w:color w:val="000000" w:themeColor="text1"/>
        </w:rPr>
        <w:t>2)  Goal-setting works through:</w:t>
      </w:r>
    </w:p>
    <w:p w14:paraId="1F93986E" w14:textId="77777777" w:rsidR="00537D9D" w:rsidRPr="00772247" w:rsidRDefault="00BF336C" w:rsidP="00772247">
      <w:pPr>
        <w:pStyle w:val="ListParagraph"/>
        <w:numPr>
          <w:ilvl w:val="0"/>
          <w:numId w:val="11"/>
        </w:numPr>
        <w:rPr>
          <w:rFonts w:ascii="Times New Roman" w:eastAsia="Times New Roman" w:hAnsi="Times New Roman" w:cs="Times New Roman"/>
          <w:b/>
          <w:color w:val="000000" w:themeColor="text1"/>
        </w:rPr>
      </w:pPr>
      <w:r w:rsidRPr="00772247">
        <w:rPr>
          <w:rFonts w:ascii="Times New Roman" w:eastAsia="Times New Roman" w:hAnsi="Times New Roman" w:cs="Times New Roman"/>
          <w:color w:val="000000" w:themeColor="text1"/>
        </w:rPr>
        <w:t xml:space="preserve">Directing attention and effort toward goal-related activities </w:t>
      </w:r>
    </w:p>
    <w:p w14:paraId="7C4B6423" w14:textId="77777777" w:rsidR="00537D9D" w:rsidRPr="00772247" w:rsidRDefault="00BF336C" w:rsidP="00772247">
      <w:pPr>
        <w:pStyle w:val="ListParagraph"/>
        <w:numPr>
          <w:ilvl w:val="0"/>
          <w:numId w:val="11"/>
        </w:numPr>
        <w:rPr>
          <w:rFonts w:ascii="Times New Roman" w:eastAsia="Times New Roman" w:hAnsi="Times New Roman" w:cs="Times New Roman"/>
          <w:b/>
          <w:color w:val="000000" w:themeColor="text1"/>
        </w:rPr>
      </w:pPr>
      <w:r w:rsidRPr="00772247">
        <w:rPr>
          <w:rFonts w:ascii="Times New Roman" w:eastAsia="Times New Roman" w:hAnsi="Times New Roman" w:cs="Times New Roman"/>
          <w:color w:val="000000" w:themeColor="text1"/>
        </w:rPr>
        <w:t>Energizing goal pursuers, e.g. higher goals bring higher efforts</w:t>
      </w:r>
    </w:p>
    <w:p w14:paraId="734D8B0C" w14:textId="77777777" w:rsidR="00537D9D" w:rsidRPr="00772247" w:rsidRDefault="00BF336C" w:rsidP="00772247">
      <w:pPr>
        <w:pStyle w:val="ListParagraph"/>
        <w:numPr>
          <w:ilvl w:val="0"/>
          <w:numId w:val="11"/>
        </w:numPr>
        <w:rPr>
          <w:rFonts w:ascii="Times New Roman" w:eastAsia="Times New Roman" w:hAnsi="Times New Roman" w:cs="Times New Roman"/>
          <w:b/>
          <w:color w:val="000000" w:themeColor="text1"/>
        </w:rPr>
      </w:pPr>
      <w:r w:rsidRPr="00772247">
        <w:rPr>
          <w:rFonts w:ascii="Times New Roman" w:eastAsia="Times New Roman" w:hAnsi="Times New Roman" w:cs="Times New Roman"/>
          <w:color w:val="000000" w:themeColor="text1"/>
        </w:rPr>
        <w:t xml:space="preserve">Making the effort persistent </w:t>
      </w:r>
    </w:p>
    <w:p w14:paraId="00DC40C7" w14:textId="77777777" w:rsidR="00BF336C" w:rsidRPr="00772247" w:rsidRDefault="00BF336C" w:rsidP="00772247">
      <w:pPr>
        <w:pStyle w:val="ListParagraph"/>
        <w:numPr>
          <w:ilvl w:val="0"/>
          <w:numId w:val="11"/>
        </w:numPr>
        <w:rPr>
          <w:rFonts w:ascii="Times New Roman" w:eastAsia="Times New Roman" w:hAnsi="Times New Roman" w:cs="Times New Roman"/>
          <w:b/>
          <w:color w:val="000000" w:themeColor="text1"/>
        </w:rPr>
      </w:pPr>
      <w:r w:rsidRPr="00772247">
        <w:rPr>
          <w:rFonts w:ascii="Times New Roman" w:eastAsia="Times New Roman" w:hAnsi="Times New Roman" w:cs="Times New Roman"/>
          <w:color w:val="000000" w:themeColor="text1"/>
        </w:rPr>
        <w:t xml:space="preserve">Motivating individuals for using, applying, and/or learning strategies or knowledge of best accomplishment methods for their goal (indirect impact) </w:t>
      </w:r>
    </w:p>
    <w:p w14:paraId="1CADB7AF" w14:textId="77777777" w:rsidR="00BF336C" w:rsidRPr="00772247" w:rsidRDefault="00BF336C" w:rsidP="00772247">
      <w:pPr>
        <w:rPr>
          <w:rFonts w:eastAsia="Times New Roman"/>
          <w:color w:val="000000" w:themeColor="text1"/>
        </w:rPr>
      </w:pPr>
    </w:p>
    <w:p w14:paraId="4F6C808D" w14:textId="77777777" w:rsidR="00413C4F" w:rsidRPr="00772247" w:rsidRDefault="00413C4F" w:rsidP="00772247">
      <w:pPr>
        <w:rPr>
          <w:rFonts w:eastAsia="Times New Roman"/>
          <w:b/>
          <w:color w:val="000000" w:themeColor="text1"/>
        </w:rPr>
      </w:pPr>
      <w:r w:rsidRPr="00772247">
        <w:rPr>
          <w:rFonts w:eastAsia="Times New Roman"/>
          <w:b/>
          <w:color w:val="000000" w:themeColor="text1"/>
        </w:rPr>
        <w:t>3) Commitment</w:t>
      </w:r>
    </w:p>
    <w:p w14:paraId="108C8D9C" w14:textId="155281F5" w:rsidR="00413C4F" w:rsidRPr="00772247" w:rsidRDefault="00413C4F" w:rsidP="00772247">
      <w:pPr>
        <w:rPr>
          <w:rFonts w:eastAsia="Times New Roman"/>
          <w:color w:val="000000" w:themeColor="text1"/>
        </w:rPr>
      </w:pPr>
      <w:r w:rsidRPr="00772247">
        <w:rPr>
          <w:rFonts w:eastAsia="Times New Roman"/>
          <w:color w:val="000000" w:themeColor="text1"/>
        </w:rPr>
        <w:t xml:space="preserve">Could be a self-pledge or a commitment to society. For example, one could make a self-pledge to reduce his or her energy consumption by </w:t>
      </w:r>
      <w:r w:rsidR="004919E1" w:rsidRPr="00772247">
        <w:rPr>
          <w:rFonts w:eastAsia="Times New Roman"/>
          <w:color w:val="000000" w:themeColor="text1"/>
        </w:rPr>
        <w:t>5%</w:t>
      </w:r>
      <w:r w:rsidRPr="00772247">
        <w:rPr>
          <w:rFonts w:eastAsia="Times New Roman"/>
          <w:color w:val="000000" w:themeColor="text1"/>
        </w:rPr>
        <w:t xml:space="preserve"> (personal norm activation) or could follow an announcement in a local newspaper to satisfy expectation of others; in this case social norms play a determinant role.</w:t>
      </w:r>
    </w:p>
    <w:p w14:paraId="7B215683" w14:textId="77777777" w:rsidR="00413C4F" w:rsidRPr="00772247" w:rsidRDefault="00413C4F" w:rsidP="00772247">
      <w:pPr>
        <w:rPr>
          <w:rFonts w:eastAsia="Times New Roman"/>
          <w:b/>
          <w:color w:val="000000" w:themeColor="text1"/>
        </w:rPr>
      </w:pPr>
    </w:p>
    <w:p w14:paraId="4900CC50" w14:textId="77777777" w:rsidR="00413C4F" w:rsidRPr="00772247" w:rsidRDefault="00413C4F" w:rsidP="00772247">
      <w:pPr>
        <w:rPr>
          <w:rFonts w:eastAsia="Times New Roman"/>
          <w:b/>
          <w:color w:val="000000" w:themeColor="text1"/>
        </w:rPr>
      </w:pPr>
      <w:r w:rsidRPr="00772247">
        <w:rPr>
          <w:rFonts w:eastAsia="Times New Roman"/>
          <w:b/>
          <w:color w:val="000000" w:themeColor="text1"/>
        </w:rPr>
        <w:t>4) Modeling</w:t>
      </w:r>
    </w:p>
    <w:p w14:paraId="3EAAE21E" w14:textId="77777777" w:rsidR="00413C4F" w:rsidRPr="00772247" w:rsidRDefault="00D0567A" w:rsidP="00772247">
      <w:pPr>
        <w:rPr>
          <w:rFonts w:eastAsia="Times New Roman"/>
          <w:color w:val="000000" w:themeColor="text1"/>
        </w:rPr>
      </w:pPr>
      <w:r w:rsidRPr="00772247">
        <w:rPr>
          <w:rFonts w:eastAsia="Times New Roman"/>
          <w:color w:val="000000" w:themeColor="text1"/>
        </w:rPr>
        <w:t>Using an “understandable, relevant, meaningful, and rewarding (in terms of positive results)” model could motivate people to follow it.</w:t>
      </w:r>
    </w:p>
    <w:p w14:paraId="3CB1768F" w14:textId="77777777" w:rsidR="00D0567A" w:rsidRPr="00772247" w:rsidRDefault="00D0567A" w:rsidP="00772247">
      <w:pPr>
        <w:rPr>
          <w:rFonts w:eastAsia="Times New Roman"/>
          <w:color w:val="000000" w:themeColor="text1"/>
        </w:rPr>
      </w:pPr>
    </w:p>
    <w:p w14:paraId="7F1E27BC" w14:textId="77777777" w:rsidR="00D0567A" w:rsidRPr="00772247" w:rsidRDefault="00D0567A" w:rsidP="00772247">
      <w:pPr>
        <w:rPr>
          <w:rFonts w:eastAsia="Times New Roman"/>
          <w:b/>
          <w:color w:val="000000" w:themeColor="text1"/>
        </w:rPr>
      </w:pPr>
      <w:r w:rsidRPr="00772247">
        <w:rPr>
          <w:rFonts w:eastAsia="Times New Roman"/>
          <w:b/>
          <w:color w:val="000000" w:themeColor="text1"/>
        </w:rPr>
        <w:t>5</w:t>
      </w:r>
      <w:r w:rsidRPr="00772247">
        <w:rPr>
          <w:rFonts w:eastAsia="Times New Roman"/>
          <w:color w:val="000000" w:themeColor="text1"/>
        </w:rPr>
        <w:t>)</w:t>
      </w:r>
      <w:r w:rsidRPr="00772247">
        <w:rPr>
          <w:rFonts w:eastAsia="Times New Roman"/>
          <w:b/>
          <w:color w:val="000000" w:themeColor="text1"/>
        </w:rPr>
        <w:t xml:space="preserve"> Incentives / Disincentives</w:t>
      </w:r>
    </w:p>
    <w:p w14:paraId="42E744B1" w14:textId="77777777" w:rsidR="00537D9D" w:rsidRPr="00772247" w:rsidRDefault="00537D9D" w:rsidP="00772247">
      <w:pPr>
        <w:rPr>
          <w:rFonts w:eastAsia="Times New Roman"/>
          <w:color w:val="000000" w:themeColor="text1"/>
        </w:rPr>
      </w:pPr>
      <w:r w:rsidRPr="00772247">
        <w:rPr>
          <w:rFonts w:eastAsia="Times New Roman"/>
          <w:color w:val="000000" w:themeColor="text1"/>
        </w:rPr>
        <w:t xml:space="preserve">It is not necessary for these strategies to be in </w:t>
      </w:r>
      <w:r w:rsidRPr="00772247">
        <w:rPr>
          <w:rFonts w:eastAsia="Times New Roman"/>
          <w:b/>
          <w:color w:val="000000" w:themeColor="text1"/>
        </w:rPr>
        <w:t>monetary form</w:t>
      </w:r>
      <w:r w:rsidRPr="00772247">
        <w:rPr>
          <w:rFonts w:eastAsia="Times New Roman"/>
          <w:color w:val="000000" w:themeColor="text1"/>
        </w:rPr>
        <w:t xml:space="preserve">. They are mostly useful for shaping efficiency behavior in end-users. For example, giving incentives for utilizing technological innovations such as energy efficient appliances or insulation methods in households could lead to wider usage of them. </w:t>
      </w:r>
    </w:p>
    <w:p w14:paraId="3D431BA2" w14:textId="77777777" w:rsidR="00BF336C" w:rsidRPr="00772247" w:rsidRDefault="00537D9D" w:rsidP="00772247">
      <w:pPr>
        <w:rPr>
          <w:rFonts w:eastAsia="Times New Roman"/>
          <w:color w:val="000000" w:themeColor="text1"/>
        </w:rPr>
      </w:pPr>
      <w:r w:rsidRPr="00772247">
        <w:rPr>
          <w:rFonts w:eastAsia="Times New Roman"/>
          <w:color w:val="000000" w:themeColor="text1"/>
        </w:rPr>
        <w:lastRenderedPageBreak/>
        <w:t xml:space="preserve">An example of </w:t>
      </w:r>
      <w:r w:rsidRPr="00772247">
        <w:rPr>
          <w:rFonts w:eastAsia="Times New Roman"/>
          <w:b/>
          <w:color w:val="000000" w:themeColor="text1"/>
        </w:rPr>
        <w:t>nonmonetary</w:t>
      </w:r>
      <w:r w:rsidRPr="00772247">
        <w:rPr>
          <w:rFonts w:eastAsia="Times New Roman"/>
          <w:color w:val="000000" w:themeColor="text1"/>
        </w:rPr>
        <w:t xml:space="preserve"> incentives could be providing special parking places for fuel-efficient vehicles in cities in order to encourage people to choose them instead of less efficient ones.</w:t>
      </w:r>
    </w:p>
    <w:p w14:paraId="535A1103" w14:textId="77777777" w:rsidR="005D7486" w:rsidRPr="00772247" w:rsidRDefault="005D7486" w:rsidP="00772247">
      <w:pPr>
        <w:jc w:val="center"/>
        <w:rPr>
          <w:rFonts w:eastAsia="Times New Roman"/>
          <w:b/>
          <w:color w:val="000000" w:themeColor="text1"/>
        </w:rPr>
      </w:pPr>
    </w:p>
    <w:p w14:paraId="72C0C086" w14:textId="359940DC" w:rsidR="00D40BD3" w:rsidRPr="00772247" w:rsidRDefault="005D7486" w:rsidP="00772247">
      <w:pPr>
        <w:jc w:val="center"/>
        <w:rPr>
          <w:rFonts w:eastAsia="Times New Roman"/>
          <w:b/>
          <w:color w:val="000000" w:themeColor="text1"/>
        </w:rPr>
      </w:pPr>
      <w:r w:rsidRPr="00772247">
        <w:rPr>
          <w:rFonts w:eastAsia="Times New Roman"/>
          <w:b/>
          <w:color w:val="000000" w:themeColor="text1"/>
        </w:rPr>
        <w:t>Consequence strategies</w:t>
      </w:r>
    </w:p>
    <w:p w14:paraId="07665314" w14:textId="22345087" w:rsidR="005D7486" w:rsidRPr="00772247" w:rsidRDefault="00145F20" w:rsidP="00772247">
      <w:pPr>
        <w:rPr>
          <w:rFonts w:eastAsia="Times New Roman"/>
          <w:b/>
          <w:color w:val="000000" w:themeColor="text1"/>
        </w:rPr>
      </w:pPr>
      <w:r w:rsidRPr="00772247">
        <w:rPr>
          <w:rFonts w:eastAsia="Times New Roman"/>
          <w:b/>
          <w:color w:val="000000" w:themeColor="text1"/>
        </w:rPr>
        <w:t>1) Comparison</w:t>
      </w:r>
    </w:p>
    <w:p w14:paraId="5E9F595E" w14:textId="4C021BAA" w:rsidR="00145F20" w:rsidRPr="00772247" w:rsidRDefault="00145F20" w:rsidP="00772247">
      <w:pPr>
        <w:rPr>
          <w:rFonts w:eastAsia="Times New Roman"/>
          <w:color w:val="000000" w:themeColor="text1"/>
        </w:rPr>
      </w:pPr>
      <w:r w:rsidRPr="00772247">
        <w:rPr>
          <w:rFonts w:eastAsia="Times New Roman"/>
          <w:color w:val="000000" w:themeColor="text1"/>
        </w:rPr>
        <w:t>Comparing individuals or groups could evoke a sense of competition, social comparison, or social pressure; this feeling could be increased when comparison is made to an important or relevant reference group. Combining comparison with feedback could lead to a more effective strategy</w:t>
      </w:r>
    </w:p>
    <w:p w14:paraId="07EC33AF" w14:textId="77777777" w:rsidR="00145F20" w:rsidRPr="00772247" w:rsidRDefault="00145F20" w:rsidP="00772247">
      <w:pPr>
        <w:rPr>
          <w:rFonts w:eastAsia="Times New Roman"/>
          <w:color w:val="000000" w:themeColor="text1"/>
        </w:rPr>
      </w:pPr>
    </w:p>
    <w:p w14:paraId="6D27D4DE" w14:textId="77777777" w:rsidR="00033FD3" w:rsidRPr="00772247" w:rsidRDefault="00145F20" w:rsidP="00772247">
      <w:pPr>
        <w:rPr>
          <w:rFonts w:eastAsia="Times New Roman"/>
          <w:b/>
          <w:color w:val="000000" w:themeColor="text1"/>
        </w:rPr>
      </w:pPr>
      <w:r w:rsidRPr="00772247">
        <w:rPr>
          <w:rFonts w:eastAsia="Times New Roman"/>
          <w:b/>
          <w:color w:val="000000" w:themeColor="text1"/>
        </w:rPr>
        <w:t>2)</w:t>
      </w:r>
      <w:r w:rsidRPr="00772247">
        <w:rPr>
          <w:rFonts w:eastAsia="Times New Roman"/>
          <w:color w:val="000000" w:themeColor="text1"/>
        </w:rPr>
        <w:t xml:space="preserve"> </w:t>
      </w:r>
      <w:r w:rsidR="00033FD3" w:rsidRPr="00772247">
        <w:rPr>
          <w:rFonts w:eastAsia="Times New Roman"/>
          <w:b/>
          <w:color w:val="000000" w:themeColor="text1"/>
        </w:rPr>
        <w:t>Rewards / Penalties</w:t>
      </w:r>
    </w:p>
    <w:p w14:paraId="42E7177E" w14:textId="77777777" w:rsidR="00033FD3" w:rsidRPr="00772247" w:rsidRDefault="00033FD3" w:rsidP="00772247">
      <w:pPr>
        <w:rPr>
          <w:rFonts w:eastAsia="Times New Roman"/>
          <w:color w:val="000000" w:themeColor="text1"/>
        </w:rPr>
      </w:pPr>
      <w:r w:rsidRPr="00772247">
        <w:rPr>
          <w:rFonts w:eastAsia="Times New Roman"/>
          <w:color w:val="000000" w:themeColor="text1"/>
        </w:rPr>
        <w:t xml:space="preserve">Most of the studies reviewed by Abrahamse et al. (2005) show the positive effects of reward strategies on energy savings in the form of significant difference between those who were offered rewards and those who were not. </w:t>
      </w:r>
    </w:p>
    <w:p w14:paraId="367D1FE8" w14:textId="77777777" w:rsidR="00033FD3" w:rsidRPr="00772247" w:rsidRDefault="00033FD3" w:rsidP="00772247">
      <w:pPr>
        <w:rPr>
          <w:rFonts w:eastAsia="Times New Roman"/>
          <w:color w:val="000000" w:themeColor="text1"/>
        </w:rPr>
      </w:pPr>
    </w:p>
    <w:p w14:paraId="61097555" w14:textId="793DC6AB" w:rsidR="00033FD3" w:rsidRPr="00772247" w:rsidRDefault="00033FD3" w:rsidP="00772247">
      <w:pPr>
        <w:rPr>
          <w:rFonts w:eastAsia="Times New Roman"/>
          <w:color w:val="000000" w:themeColor="text1"/>
        </w:rPr>
      </w:pPr>
      <w:r w:rsidRPr="00772247">
        <w:rPr>
          <w:rFonts w:eastAsia="Times New Roman"/>
          <w:color w:val="000000" w:themeColor="text1"/>
        </w:rPr>
        <w:t>It is not necessary for the reward to be monetary; even a nominal award, e.g. an acknowledgement of positive behavior, or game-like awards such as points and levels could promote a sustainable behavior</w:t>
      </w:r>
    </w:p>
    <w:p w14:paraId="51FB8196" w14:textId="77777777" w:rsidR="00033FD3" w:rsidRPr="00772247" w:rsidRDefault="00033FD3" w:rsidP="00772247">
      <w:pPr>
        <w:rPr>
          <w:rFonts w:eastAsia="Times New Roman"/>
          <w:color w:val="000000" w:themeColor="text1"/>
        </w:rPr>
      </w:pPr>
    </w:p>
    <w:p w14:paraId="347CD337" w14:textId="33BFABB7" w:rsidR="00033FD3" w:rsidRPr="00772247" w:rsidRDefault="00033FD3" w:rsidP="00772247">
      <w:pPr>
        <w:rPr>
          <w:rFonts w:eastAsia="Times New Roman"/>
          <w:b/>
          <w:color w:val="000000" w:themeColor="text1"/>
        </w:rPr>
      </w:pPr>
      <w:r w:rsidRPr="00772247">
        <w:rPr>
          <w:rFonts w:eastAsia="Times New Roman"/>
          <w:b/>
          <w:color w:val="000000" w:themeColor="text1"/>
        </w:rPr>
        <w:t>3) Feedback</w:t>
      </w:r>
    </w:p>
    <w:p w14:paraId="31754E45" w14:textId="77777777" w:rsidR="00074316" w:rsidRPr="00772247" w:rsidRDefault="00074316" w:rsidP="00772247">
      <w:pPr>
        <w:rPr>
          <w:rFonts w:eastAsia="Times New Roman"/>
          <w:color w:val="000000" w:themeColor="text1"/>
        </w:rPr>
      </w:pPr>
      <w:r w:rsidRPr="00772247">
        <w:rPr>
          <w:rFonts w:eastAsia="Times New Roman"/>
          <w:color w:val="000000" w:themeColor="text1"/>
        </w:rPr>
        <w:t>Normally, it is</w:t>
      </w:r>
      <w:r w:rsidRPr="00772247">
        <w:rPr>
          <w:rFonts w:eastAsia="Times New Roman"/>
          <w:b/>
          <w:color w:val="000000" w:themeColor="text1"/>
        </w:rPr>
        <w:t xml:space="preserve"> </w:t>
      </w:r>
      <w:r w:rsidRPr="00772247">
        <w:rPr>
          <w:rFonts w:eastAsia="Times New Roman"/>
          <w:color w:val="000000" w:themeColor="text1"/>
        </w:rPr>
        <w:t xml:space="preserve">hard to motivate people to control their electricity usage. This is mostly because electricity is an “abstract, invisible, and untouchable” product and service. It is not an end product, but a driver for other products and services. Due to the invisibility of electricity, people have almost no direct interaction with it and receive little feedback on their consumption pattern, e.g. only from monthly bills. Eco-feedback is a way to make electricity and its consumption, costs, and environmental impact visible to users. </w:t>
      </w:r>
    </w:p>
    <w:p w14:paraId="30AB982B" w14:textId="41F97C58" w:rsidR="006157FF" w:rsidRPr="00772247" w:rsidRDefault="006157FF" w:rsidP="00772247">
      <w:pPr>
        <w:rPr>
          <w:rFonts w:eastAsia="Times New Roman"/>
          <w:color w:val="000000" w:themeColor="text1"/>
        </w:rPr>
      </w:pPr>
      <w:r w:rsidRPr="00772247">
        <w:rPr>
          <w:rFonts w:eastAsia="Times New Roman"/>
          <w:color w:val="000000" w:themeColor="text1"/>
        </w:rPr>
        <w:t>Overall, the links between attitudes and energy demand are often found not to be strong.</w:t>
      </w:r>
    </w:p>
    <w:p w14:paraId="1D5430F0" w14:textId="7C487C6A" w:rsidR="00033FD3" w:rsidRPr="00772247" w:rsidRDefault="00033FD3" w:rsidP="00772247">
      <w:pPr>
        <w:rPr>
          <w:rFonts w:eastAsia="Times New Roman"/>
          <w:color w:val="000000" w:themeColor="text1"/>
        </w:rPr>
      </w:pPr>
    </w:p>
    <w:p w14:paraId="0B877BC5" w14:textId="67A3FB12" w:rsidR="00145F20" w:rsidRPr="00772247" w:rsidRDefault="00145F20" w:rsidP="00772247">
      <w:pPr>
        <w:rPr>
          <w:rFonts w:eastAsia="Times New Roman"/>
          <w:color w:val="000000" w:themeColor="text1"/>
        </w:rPr>
      </w:pPr>
    </w:p>
    <w:p w14:paraId="207775B9" w14:textId="058C9BED" w:rsidR="00D40BD3" w:rsidRPr="00772247" w:rsidRDefault="00D40BD3" w:rsidP="00772247">
      <w:pPr>
        <w:jc w:val="center"/>
        <w:rPr>
          <w:rFonts w:eastAsia="Times New Roman"/>
          <w:b/>
        </w:rPr>
      </w:pPr>
      <w:r w:rsidRPr="00772247">
        <w:rPr>
          <w:rFonts w:eastAsia="Times New Roman"/>
          <w:b/>
        </w:rPr>
        <w:t>Understanding consumer behavior</w:t>
      </w:r>
    </w:p>
    <w:p w14:paraId="5287EDD1" w14:textId="7ADA0908" w:rsidR="003141D3" w:rsidRPr="00772247" w:rsidRDefault="00D40BD3" w:rsidP="00772247">
      <w:pPr>
        <w:rPr>
          <w:rFonts w:eastAsia="Times New Roman"/>
          <w:color w:val="000000" w:themeColor="text1"/>
        </w:rPr>
      </w:pPr>
      <w:r w:rsidRPr="00772247">
        <w:rPr>
          <w:rFonts w:eastAsia="Times New Roman"/>
          <w:b/>
          <w:color w:val="000000" w:themeColor="text1"/>
        </w:rPr>
        <w:t>1) Price and income</w:t>
      </w:r>
    </w:p>
    <w:p w14:paraId="720B6DC0" w14:textId="77777777" w:rsidR="00D40BD3" w:rsidRPr="00772247" w:rsidRDefault="00D40BD3" w:rsidP="00772247">
      <w:pPr>
        <w:rPr>
          <w:rFonts w:eastAsia="Times New Roman"/>
          <w:color w:val="000000" w:themeColor="text1"/>
        </w:rPr>
      </w:pPr>
      <w:r w:rsidRPr="00772247">
        <w:rPr>
          <w:rFonts w:eastAsia="Times New Roman"/>
          <w:color w:val="000000" w:themeColor="text1"/>
        </w:rPr>
        <w:t xml:space="preserve">One of the most important factors influencing sustainable consumption is income, with wealthier households far more likely to purchase sustainable products. </w:t>
      </w:r>
    </w:p>
    <w:p w14:paraId="796C8FA0" w14:textId="77777777" w:rsidR="00D40BD3" w:rsidRPr="00772247" w:rsidRDefault="00D40BD3" w:rsidP="00772247">
      <w:pPr>
        <w:rPr>
          <w:rFonts w:eastAsia="Times New Roman"/>
          <w:color w:val="000000" w:themeColor="text1"/>
        </w:rPr>
      </w:pPr>
    </w:p>
    <w:p w14:paraId="54CEF472" w14:textId="6583DE9E" w:rsidR="00D40BD3" w:rsidRPr="00772247" w:rsidRDefault="00D40BD3" w:rsidP="00772247">
      <w:pPr>
        <w:rPr>
          <w:rFonts w:eastAsia="Times New Roman"/>
          <w:b/>
          <w:color w:val="000000" w:themeColor="text1"/>
        </w:rPr>
      </w:pPr>
      <w:r w:rsidRPr="00772247">
        <w:rPr>
          <w:rFonts w:eastAsia="Times New Roman"/>
          <w:b/>
          <w:color w:val="000000" w:themeColor="text1"/>
        </w:rPr>
        <w:t>2) Personal biases</w:t>
      </w:r>
    </w:p>
    <w:p w14:paraId="49BC1549" w14:textId="77777777" w:rsidR="00D40BD3" w:rsidRPr="00772247" w:rsidRDefault="00D40BD3" w:rsidP="00772247">
      <w:pPr>
        <w:rPr>
          <w:rFonts w:eastAsia="Times New Roman"/>
          <w:color w:val="000000" w:themeColor="text1"/>
        </w:rPr>
      </w:pPr>
      <w:r w:rsidRPr="00772247">
        <w:rPr>
          <w:rFonts w:eastAsia="Times New Roman"/>
          <w:color w:val="000000" w:themeColor="text1"/>
        </w:rPr>
        <w:t xml:space="preserve">Consumers may be “locked in” to unsustainable patterns of consumption by social norms or peer pressures which dictate more and higher-priced goods. However, many consumers in OECD countries are becoming environmentally and socially conscious and want to demonstrate this to their peers. </w:t>
      </w:r>
    </w:p>
    <w:p w14:paraId="0F0049F0" w14:textId="77777777" w:rsidR="00D40BD3" w:rsidRPr="00772247" w:rsidRDefault="00D40BD3" w:rsidP="00772247">
      <w:pPr>
        <w:rPr>
          <w:rFonts w:eastAsia="Times New Roman"/>
          <w:color w:val="000000" w:themeColor="text1"/>
        </w:rPr>
      </w:pPr>
    </w:p>
    <w:p w14:paraId="2B3986E5" w14:textId="5A6EFED3" w:rsidR="00D40BD3" w:rsidRPr="00772247" w:rsidRDefault="00D40BD3" w:rsidP="00772247">
      <w:pPr>
        <w:rPr>
          <w:rFonts w:eastAsia="Times New Roman"/>
          <w:b/>
          <w:color w:val="000000" w:themeColor="text1"/>
        </w:rPr>
      </w:pPr>
      <w:r w:rsidRPr="00772247">
        <w:rPr>
          <w:rFonts w:eastAsia="Times New Roman"/>
          <w:b/>
          <w:color w:val="000000" w:themeColor="text1"/>
        </w:rPr>
        <w:t>3) Age</w:t>
      </w:r>
    </w:p>
    <w:p w14:paraId="2284950E" w14:textId="08557E5D" w:rsidR="00D40BD3" w:rsidRPr="00772247" w:rsidRDefault="00D40BD3" w:rsidP="00772247">
      <w:pPr>
        <w:rPr>
          <w:rFonts w:eastAsia="Times New Roman"/>
          <w:color w:val="000000" w:themeColor="text1"/>
        </w:rPr>
      </w:pPr>
      <w:r w:rsidRPr="00772247">
        <w:rPr>
          <w:rFonts w:eastAsia="Times New Roman"/>
          <w:color w:val="000000" w:themeColor="text1"/>
        </w:rPr>
        <w:t xml:space="preserve">Consumption patterns and interest in sustainable consumption differ by age groups. For example, young people between the ages of 18 and 25 tend to be very conscious of the need to reduce environmental pollution, improve human health and increase respect for human rights on a global scale. </w:t>
      </w:r>
    </w:p>
    <w:p w14:paraId="52DD6BF5" w14:textId="77777777" w:rsidR="00D40BD3" w:rsidRPr="00772247" w:rsidRDefault="00D40BD3" w:rsidP="00772247">
      <w:pPr>
        <w:rPr>
          <w:rFonts w:eastAsia="Times New Roman"/>
          <w:color w:val="000000" w:themeColor="text1"/>
        </w:rPr>
      </w:pPr>
    </w:p>
    <w:p w14:paraId="13837C5C" w14:textId="2110257D" w:rsidR="00D40BD3" w:rsidRPr="00772247" w:rsidRDefault="00D40BD3" w:rsidP="00772247">
      <w:pPr>
        <w:rPr>
          <w:rFonts w:eastAsia="Times New Roman"/>
          <w:b/>
          <w:color w:val="000000" w:themeColor="text1"/>
        </w:rPr>
      </w:pPr>
      <w:r w:rsidRPr="00772247">
        <w:rPr>
          <w:rFonts w:eastAsia="Times New Roman"/>
          <w:b/>
          <w:color w:val="000000" w:themeColor="text1"/>
        </w:rPr>
        <w:t>4) Gender</w:t>
      </w:r>
    </w:p>
    <w:p w14:paraId="43BB4E35" w14:textId="29AC2474" w:rsidR="00F93ECA" w:rsidRPr="00772247" w:rsidRDefault="00D40BD3" w:rsidP="00772247">
      <w:pPr>
        <w:rPr>
          <w:rFonts w:eastAsia="Times New Roman"/>
          <w:color w:val="000000" w:themeColor="text1"/>
        </w:rPr>
      </w:pPr>
      <w:r w:rsidRPr="00772247">
        <w:rPr>
          <w:rFonts w:eastAsia="Times New Roman"/>
          <w:color w:val="000000" w:themeColor="text1"/>
        </w:rPr>
        <w:t>Surveys show that women are more likely to be sustainable consumers, e.g. they tend to buy eco-labelled or organic food, have a higher propensity to recycle and place more value on efficient energy than men.</w:t>
      </w:r>
    </w:p>
    <w:p w14:paraId="45E2D257" w14:textId="604CA359" w:rsidR="00D40BD3" w:rsidRPr="00772247" w:rsidRDefault="00D40BD3" w:rsidP="00772247">
      <w:pPr>
        <w:rPr>
          <w:rFonts w:eastAsia="Times New Roman"/>
          <w:color w:val="000000" w:themeColor="text1"/>
        </w:rPr>
      </w:pPr>
      <w:r w:rsidRPr="00772247">
        <w:rPr>
          <w:rFonts w:eastAsia="Times New Roman"/>
          <w:color w:val="000000" w:themeColor="text1"/>
        </w:rPr>
        <w:t>A UK study found that women are more concerned about climate change than men and advocate changes in life-styles and consumption behavior, whereas men favored more technological solutions for mitigating greenhouse gas emissions</w:t>
      </w:r>
      <w:r w:rsidR="00C62E9F" w:rsidRPr="00772247">
        <w:rPr>
          <w:rFonts w:eastAsia="Times New Roman"/>
          <w:color w:val="000000" w:themeColor="text1"/>
        </w:rPr>
        <w:t>.</w:t>
      </w:r>
    </w:p>
    <w:p w14:paraId="231B104A" w14:textId="77777777" w:rsidR="00C62E9F" w:rsidRPr="00772247" w:rsidRDefault="00C62E9F" w:rsidP="00772247">
      <w:pPr>
        <w:rPr>
          <w:rFonts w:eastAsia="Times New Roman"/>
          <w:b/>
          <w:color w:val="000000" w:themeColor="text1"/>
        </w:rPr>
      </w:pPr>
    </w:p>
    <w:p w14:paraId="03B41495" w14:textId="727D8A0C" w:rsidR="00C31EE0" w:rsidRPr="00772247" w:rsidRDefault="004C223E" w:rsidP="00772247">
      <w:pPr>
        <w:jc w:val="center"/>
        <w:rPr>
          <w:rFonts w:eastAsia="Times New Roman"/>
          <w:b/>
          <w:color w:val="000000" w:themeColor="text1"/>
        </w:rPr>
      </w:pPr>
      <w:r w:rsidRPr="00772247">
        <w:rPr>
          <w:rFonts w:eastAsia="Times New Roman"/>
          <w:b/>
          <w:color w:val="000000" w:themeColor="text1"/>
        </w:rPr>
        <w:t>PART I</w:t>
      </w:r>
    </w:p>
    <w:p w14:paraId="43CE527D" w14:textId="77777777" w:rsidR="003B041C" w:rsidRPr="00772247" w:rsidRDefault="003B041C" w:rsidP="00772247">
      <w:pPr>
        <w:jc w:val="center"/>
        <w:rPr>
          <w:rFonts w:eastAsia="Times New Roman"/>
          <w:b/>
          <w:color w:val="000000" w:themeColor="text1"/>
        </w:rPr>
      </w:pPr>
    </w:p>
    <w:p w14:paraId="2E865CFD" w14:textId="77777777" w:rsidR="00695CDE" w:rsidRPr="00772247" w:rsidRDefault="003141D3" w:rsidP="00772247">
      <w:pPr>
        <w:pStyle w:val="ListParagraph"/>
        <w:numPr>
          <w:ilvl w:val="0"/>
          <w:numId w:val="2"/>
        </w:numPr>
        <w:rPr>
          <w:rFonts w:ascii="Times New Roman" w:eastAsia="Times New Roman" w:hAnsi="Times New Roman" w:cs="Times New Roman"/>
          <w:b/>
          <w:color w:val="000000" w:themeColor="text1"/>
        </w:rPr>
      </w:pPr>
      <w:r w:rsidRPr="00772247">
        <w:rPr>
          <w:rFonts w:ascii="Times New Roman" w:eastAsia="Times New Roman" w:hAnsi="Times New Roman" w:cs="Times New Roman"/>
          <w:b/>
          <w:color w:val="000000" w:themeColor="text1"/>
        </w:rPr>
        <w:t>STRATEGIES FOR PROMOTING SUSTAINABLE BEHAVIOR</w:t>
      </w:r>
    </w:p>
    <w:p w14:paraId="73AA2CF9" w14:textId="77777777" w:rsidR="00695CDE" w:rsidRPr="00772247" w:rsidRDefault="00695CDE" w:rsidP="00772247">
      <w:pPr>
        <w:rPr>
          <w:rFonts w:eastAsia="Times New Roman"/>
          <w:color w:val="000000" w:themeColor="text1"/>
        </w:rPr>
      </w:pPr>
      <w:r w:rsidRPr="00772247">
        <w:rPr>
          <w:rFonts w:eastAsia="Times New Roman"/>
          <w:color w:val="000000" w:themeColor="text1"/>
        </w:rPr>
        <w:t xml:space="preserve">• Antecedent strategies </w:t>
      </w:r>
      <w:r w:rsidRPr="00772247">
        <w:rPr>
          <w:rFonts w:eastAsia="Times New Roman"/>
          <w:b/>
          <w:color w:val="000000" w:themeColor="text1"/>
          <w:vertAlign w:val="superscript"/>
        </w:rPr>
        <w:t>1</w:t>
      </w:r>
    </w:p>
    <w:p w14:paraId="628C4F35" w14:textId="77777777" w:rsidR="00695CDE" w:rsidRPr="00772247" w:rsidRDefault="00695CDE" w:rsidP="00772247">
      <w:pPr>
        <w:rPr>
          <w:rFonts w:eastAsia="Times New Roman"/>
          <w:color w:val="000000" w:themeColor="text1"/>
        </w:rPr>
      </w:pPr>
    </w:p>
    <w:p w14:paraId="1D35C911" w14:textId="457EB665" w:rsidR="005E0042" w:rsidRPr="00772247" w:rsidRDefault="00152F62" w:rsidP="00772247">
      <w:pPr>
        <w:rPr>
          <w:rFonts w:eastAsia="Times New Roman"/>
          <w:color w:val="000000" w:themeColor="text1"/>
        </w:rPr>
      </w:pPr>
      <w:r w:rsidRPr="00772247">
        <w:rPr>
          <w:rFonts w:eastAsia="Times New Roman"/>
          <w:color w:val="000000" w:themeColor="text1"/>
        </w:rPr>
        <w:t xml:space="preserve">1) </w:t>
      </w:r>
      <w:r w:rsidR="00695CDE" w:rsidRPr="00772247">
        <w:rPr>
          <w:rFonts w:eastAsia="Times New Roman"/>
          <w:color w:val="000000" w:themeColor="text1"/>
        </w:rPr>
        <w:t xml:space="preserve"> </w:t>
      </w:r>
      <w:r w:rsidR="00695CDE" w:rsidRPr="00772247">
        <w:rPr>
          <w:rFonts w:eastAsia="Times New Roman"/>
          <w:b/>
          <w:color w:val="000000" w:themeColor="text1"/>
        </w:rPr>
        <w:t>Information</w:t>
      </w:r>
    </w:p>
    <w:p w14:paraId="3BC77CBF" w14:textId="336F57B0" w:rsidR="00695CDE" w:rsidRPr="00772247" w:rsidRDefault="00695CDE" w:rsidP="00772247">
      <w:pPr>
        <w:rPr>
          <w:rFonts w:eastAsia="Times New Roman"/>
          <w:color w:val="000000" w:themeColor="text1"/>
        </w:rPr>
      </w:pPr>
      <w:r w:rsidRPr="00772247">
        <w:rPr>
          <w:rFonts w:eastAsia="Times New Roman"/>
          <w:color w:val="000000" w:themeColor="text1"/>
        </w:rPr>
        <w:t>Media campaigns, pamphlets, or informational websites are examples of this widely used strategy.</w:t>
      </w:r>
    </w:p>
    <w:p w14:paraId="6F0972B7" w14:textId="77777777" w:rsidR="00695CDE" w:rsidRPr="00772247" w:rsidRDefault="00695CDE" w:rsidP="00772247">
      <w:pPr>
        <w:rPr>
          <w:rFonts w:eastAsia="Times New Roman"/>
          <w:color w:val="000000" w:themeColor="text1"/>
        </w:rPr>
      </w:pPr>
    </w:p>
    <w:p w14:paraId="5882D3AF" w14:textId="77777777" w:rsidR="00695CDE" w:rsidRPr="00772247" w:rsidRDefault="00695CDE" w:rsidP="00772247">
      <w:pPr>
        <w:rPr>
          <w:rFonts w:eastAsia="Times New Roman"/>
          <w:color w:val="000000" w:themeColor="text1"/>
        </w:rPr>
      </w:pPr>
      <w:r w:rsidRPr="00772247">
        <w:rPr>
          <w:rFonts w:eastAsia="Times New Roman"/>
          <w:color w:val="000000" w:themeColor="text1"/>
        </w:rPr>
        <w:t xml:space="preserve">According to Froehlich et al. (2010), for increasing effectiveness of this method, provided information must have the following characteristics; otherwise, it may only have marginal effects: </w:t>
      </w:r>
    </w:p>
    <w:p w14:paraId="2DFFCE7F" w14:textId="77777777" w:rsidR="00695CDE" w:rsidRPr="00772247" w:rsidRDefault="00695CDE" w:rsidP="00772247">
      <w:pPr>
        <w:rPr>
          <w:rFonts w:eastAsia="Times New Roman"/>
          <w:color w:val="000000" w:themeColor="text1"/>
        </w:rPr>
      </w:pPr>
      <w:r w:rsidRPr="00772247">
        <w:rPr>
          <w:rFonts w:eastAsia="Times New Roman"/>
          <w:color w:val="000000" w:themeColor="text1"/>
        </w:rPr>
        <w:t xml:space="preserve">• Easy to understand </w:t>
      </w:r>
    </w:p>
    <w:p w14:paraId="49A1A385" w14:textId="77777777" w:rsidR="00695CDE" w:rsidRPr="00772247" w:rsidRDefault="00695CDE" w:rsidP="00772247">
      <w:pPr>
        <w:rPr>
          <w:rFonts w:eastAsia="Times New Roman"/>
          <w:color w:val="000000" w:themeColor="text1"/>
        </w:rPr>
      </w:pPr>
      <w:r w:rsidRPr="00772247">
        <w:rPr>
          <w:rFonts w:eastAsia="Times New Roman"/>
          <w:color w:val="000000" w:themeColor="text1"/>
        </w:rPr>
        <w:t xml:space="preserve">• Trustable </w:t>
      </w:r>
    </w:p>
    <w:p w14:paraId="590B06CC" w14:textId="77777777" w:rsidR="00695CDE" w:rsidRPr="00772247" w:rsidRDefault="00695CDE" w:rsidP="00772247">
      <w:pPr>
        <w:rPr>
          <w:rFonts w:eastAsia="Times New Roman"/>
          <w:color w:val="000000" w:themeColor="text1"/>
        </w:rPr>
      </w:pPr>
      <w:r w:rsidRPr="00772247">
        <w:rPr>
          <w:rFonts w:eastAsia="Times New Roman"/>
          <w:color w:val="000000" w:themeColor="text1"/>
        </w:rPr>
        <w:t>• Presented in a way that attracts attentions and is remembered</w:t>
      </w:r>
    </w:p>
    <w:p w14:paraId="1710A604" w14:textId="77777777" w:rsidR="00695CDE" w:rsidRPr="00772247" w:rsidRDefault="00695CDE" w:rsidP="00772247">
      <w:pPr>
        <w:rPr>
          <w:rFonts w:eastAsia="Times New Roman"/>
          <w:color w:val="000000" w:themeColor="text1"/>
        </w:rPr>
      </w:pPr>
      <w:r w:rsidRPr="00772247">
        <w:rPr>
          <w:rFonts w:eastAsia="Times New Roman"/>
          <w:color w:val="000000" w:themeColor="text1"/>
        </w:rPr>
        <w:t xml:space="preserve"> • Delivered as closely as possible –in time and place- to the relevant choice</w:t>
      </w:r>
    </w:p>
    <w:p w14:paraId="74BD9C20" w14:textId="77777777" w:rsidR="00BF336C" w:rsidRPr="00772247" w:rsidRDefault="00BF336C" w:rsidP="00772247">
      <w:pPr>
        <w:rPr>
          <w:rFonts w:eastAsia="Times New Roman"/>
          <w:color w:val="000000" w:themeColor="text1"/>
        </w:rPr>
      </w:pPr>
    </w:p>
    <w:p w14:paraId="291B6C11" w14:textId="77777777" w:rsidR="00695CDE" w:rsidRPr="00772247" w:rsidRDefault="00695CDE" w:rsidP="00772247">
      <w:pPr>
        <w:rPr>
          <w:rFonts w:eastAsia="Times New Roman"/>
          <w:color w:val="000000" w:themeColor="text1"/>
        </w:rPr>
      </w:pPr>
    </w:p>
    <w:p w14:paraId="1C0D8625" w14:textId="77777777" w:rsidR="00695CDE" w:rsidRPr="00772247" w:rsidRDefault="00695CDE" w:rsidP="00772247">
      <w:pPr>
        <w:rPr>
          <w:rFonts w:eastAsia="Times New Roman"/>
          <w:color w:val="000000" w:themeColor="text1"/>
        </w:rPr>
      </w:pPr>
      <w:r w:rsidRPr="00772247">
        <w:rPr>
          <w:rFonts w:eastAsia="Times New Roman"/>
          <w:color w:val="000000" w:themeColor="text1"/>
        </w:rPr>
        <w:t xml:space="preserve">Studies show that providing information through workshops is more effective compared to mass media campaigns such as newspapers or television programs. </w:t>
      </w:r>
    </w:p>
    <w:p w14:paraId="4DDFF53C" w14:textId="77777777" w:rsidR="00695CDE" w:rsidRPr="00772247" w:rsidRDefault="00695CDE" w:rsidP="00772247">
      <w:pPr>
        <w:rPr>
          <w:rFonts w:eastAsia="Times New Roman"/>
          <w:color w:val="000000" w:themeColor="text1"/>
        </w:rPr>
      </w:pPr>
    </w:p>
    <w:p w14:paraId="23CFD6B1" w14:textId="77777777" w:rsidR="00695CDE" w:rsidRPr="00772247" w:rsidRDefault="00695CDE" w:rsidP="00772247">
      <w:pPr>
        <w:rPr>
          <w:rFonts w:eastAsia="Times New Roman"/>
          <w:color w:val="000000" w:themeColor="text1"/>
        </w:rPr>
      </w:pPr>
      <w:r w:rsidRPr="00772247">
        <w:rPr>
          <w:rFonts w:eastAsia="Times New Roman"/>
          <w:color w:val="000000" w:themeColor="text1"/>
        </w:rPr>
        <w:t>-Another important factor is eliminating unnecessary information and providing users with personalized and relevant data, e.g. by suggesting potential measures of energy saving in a specific household Page 15 after doing an energy audit of it (Geller, 1981; Hutton &amp; McNeill, 1981; Luyben, 1982; Staats et al., 1996; Winett et al., 1982).</w:t>
      </w:r>
    </w:p>
    <w:p w14:paraId="776BFA3F" w14:textId="77777777" w:rsidR="00695CDE" w:rsidRPr="00772247" w:rsidRDefault="00695CDE" w:rsidP="00772247">
      <w:pPr>
        <w:rPr>
          <w:rFonts w:eastAsia="Times New Roman"/>
          <w:color w:val="000000" w:themeColor="text1"/>
        </w:rPr>
      </w:pPr>
    </w:p>
    <w:p w14:paraId="046C3AB3" w14:textId="45421643" w:rsidR="00695CDE" w:rsidRPr="00772247" w:rsidRDefault="00D927DE" w:rsidP="00772247">
      <w:pPr>
        <w:rPr>
          <w:rFonts w:eastAsia="Times New Roman"/>
          <w:color w:val="000000" w:themeColor="text1"/>
        </w:rPr>
      </w:pPr>
      <w:r w:rsidRPr="00772247">
        <w:rPr>
          <w:rFonts w:eastAsia="Times New Roman"/>
          <w:b/>
          <w:color w:val="000000" w:themeColor="text1"/>
        </w:rPr>
        <w:t xml:space="preserve">2) </w:t>
      </w:r>
      <w:r w:rsidR="00695CDE" w:rsidRPr="00772247">
        <w:rPr>
          <w:rFonts w:eastAsia="Times New Roman"/>
          <w:b/>
          <w:color w:val="000000" w:themeColor="text1"/>
        </w:rPr>
        <w:t>Goal-setting</w:t>
      </w:r>
      <w:r w:rsidR="00695CDE" w:rsidRPr="00772247">
        <w:rPr>
          <w:rFonts w:eastAsia="Times New Roman"/>
          <w:color w:val="000000" w:themeColor="text1"/>
        </w:rPr>
        <w:t xml:space="preserve"> </w:t>
      </w:r>
    </w:p>
    <w:p w14:paraId="4714A996" w14:textId="77777777" w:rsidR="00695CDE" w:rsidRPr="00772247" w:rsidRDefault="00695CDE" w:rsidP="00772247">
      <w:pPr>
        <w:rPr>
          <w:rFonts w:eastAsia="Times New Roman"/>
          <w:color w:val="000000" w:themeColor="text1"/>
        </w:rPr>
      </w:pPr>
      <w:r w:rsidRPr="00772247">
        <w:rPr>
          <w:rFonts w:eastAsia="Times New Roman"/>
          <w:color w:val="000000" w:themeColor="text1"/>
        </w:rPr>
        <w:t xml:space="preserve">This is another strategy that “operates through a comparison of the present and a desirable future situation.” It could be done by individuals, groups, or external agents. (Abrahamse, 2005; Froehlich et al., 2010). </w:t>
      </w:r>
    </w:p>
    <w:p w14:paraId="7EBAC10C" w14:textId="77777777" w:rsidR="00695CDE" w:rsidRPr="00772247" w:rsidRDefault="00695CDE" w:rsidP="00772247">
      <w:pPr>
        <w:rPr>
          <w:rFonts w:eastAsia="Times New Roman"/>
          <w:color w:val="000000" w:themeColor="text1"/>
        </w:rPr>
      </w:pPr>
    </w:p>
    <w:p w14:paraId="5D8CD63B" w14:textId="77777777" w:rsidR="00695CDE" w:rsidRPr="00772247" w:rsidRDefault="00695CDE" w:rsidP="00772247">
      <w:pPr>
        <w:rPr>
          <w:rFonts w:eastAsia="Times New Roman"/>
          <w:color w:val="000000" w:themeColor="text1"/>
        </w:rPr>
      </w:pPr>
      <w:r w:rsidRPr="00772247">
        <w:rPr>
          <w:rFonts w:eastAsia="Times New Roman"/>
          <w:color w:val="000000" w:themeColor="text1"/>
        </w:rPr>
        <w:t xml:space="preserve">According to Locke and Latham (2002, cited in Froehlich et al., 2010), goal-setting works by four mechanisms: </w:t>
      </w:r>
    </w:p>
    <w:p w14:paraId="7F036C6C" w14:textId="77777777" w:rsidR="00695CDE" w:rsidRPr="00772247" w:rsidRDefault="00695CDE" w:rsidP="00772247">
      <w:pPr>
        <w:rPr>
          <w:rFonts w:eastAsia="Times New Roman"/>
          <w:color w:val="000000" w:themeColor="text1"/>
        </w:rPr>
      </w:pPr>
      <w:r w:rsidRPr="00772247">
        <w:rPr>
          <w:rFonts w:eastAsia="Times New Roman"/>
          <w:color w:val="000000" w:themeColor="text1"/>
        </w:rPr>
        <w:t xml:space="preserve">1. Directing attention and effort toward goal-related activities </w:t>
      </w:r>
    </w:p>
    <w:p w14:paraId="41636704" w14:textId="77777777" w:rsidR="00695CDE" w:rsidRPr="00772247" w:rsidRDefault="00695CDE" w:rsidP="00772247">
      <w:pPr>
        <w:rPr>
          <w:rFonts w:eastAsia="Times New Roman"/>
          <w:color w:val="000000" w:themeColor="text1"/>
        </w:rPr>
      </w:pPr>
      <w:r w:rsidRPr="00772247">
        <w:rPr>
          <w:rFonts w:eastAsia="Times New Roman"/>
          <w:color w:val="000000" w:themeColor="text1"/>
        </w:rPr>
        <w:t>2. Energizing goal pursuers, e.g. higher goals bring higher efforts</w:t>
      </w:r>
    </w:p>
    <w:p w14:paraId="1D73E0FE" w14:textId="77777777" w:rsidR="00695CDE" w:rsidRPr="00772247" w:rsidRDefault="00695CDE" w:rsidP="00772247">
      <w:pPr>
        <w:rPr>
          <w:rFonts w:eastAsia="Times New Roman"/>
          <w:color w:val="000000" w:themeColor="text1"/>
        </w:rPr>
      </w:pPr>
      <w:r w:rsidRPr="00772247">
        <w:rPr>
          <w:rFonts w:eastAsia="Times New Roman"/>
          <w:color w:val="000000" w:themeColor="text1"/>
        </w:rPr>
        <w:t xml:space="preserve">3. Making the effort persistent </w:t>
      </w:r>
    </w:p>
    <w:p w14:paraId="018B3044" w14:textId="77777777" w:rsidR="00695CDE" w:rsidRPr="00772247" w:rsidRDefault="00695CDE" w:rsidP="00772247">
      <w:pPr>
        <w:rPr>
          <w:rFonts w:eastAsia="Times New Roman"/>
          <w:color w:val="000000" w:themeColor="text1"/>
        </w:rPr>
      </w:pPr>
      <w:r w:rsidRPr="00772247">
        <w:rPr>
          <w:rFonts w:eastAsia="Times New Roman"/>
          <w:color w:val="000000" w:themeColor="text1"/>
        </w:rPr>
        <w:t xml:space="preserve">4. Motivating individuals for using, applying, and/or learning strategies or knowledge of best accomplishment methods for their goal (indirect impact) </w:t>
      </w:r>
      <w:r w:rsidR="00C41144" w:rsidRPr="00772247">
        <w:rPr>
          <w:rStyle w:val="FootnoteReference"/>
          <w:rFonts w:eastAsia="Times New Roman"/>
          <w:color w:val="000000" w:themeColor="text1"/>
        </w:rPr>
        <w:footnoteReference w:id="1"/>
      </w:r>
    </w:p>
    <w:p w14:paraId="53C758D3" w14:textId="77777777" w:rsidR="00695CDE" w:rsidRPr="00772247" w:rsidRDefault="00695CDE" w:rsidP="00772247">
      <w:pPr>
        <w:rPr>
          <w:rFonts w:eastAsia="Times New Roman"/>
          <w:color w:val="000000" w:themeColor="text1"/>
        </w:rPr>
      </w:pPr>
    </w:p>
    <w:p w14:paraId="21A7725E" w14:textId="77777777" w:rsidR="00695CDE" w:rsidRPr="00772247" w:rsidRDefault="00695CDE" w:rsidP="00772247">
      <w:pPr>
        <w:rPr>
          <w:rFonts w:eastAsia="Times New Roman"/>
          <w:color w:val="000000" w:themeColor="text1"/>
        </w:rPr>
      </w:pPr>
      <w:r w:rsidRPr="00772247">
        <w:rPr>
          <w:rFonts w:eastAsia="Times New Roman"/>
          <w:color w:val="000000" w:themeColor="text1"/>
        </w:rPr>
        <w:t xml:space="preserve">Study of Becker (1978) shows that setting a high goal, e.g. reducing 20% electricity consumption, has stronger effect and is more useful compared to a low-level goal setting, e.g. </w:t>
      </w:r>
    </w:p>
    <w:p w14:paraId="2FDB4BAD" w14:textId="77777777" w:rsidR="00695CDE" w:rsidRPr="00772247" w:rsidRDefault="00695CDE" w:rsidP="00772247">
      <w:pPr>
        <w:rPr>
          <w:rFonts w:eastAsia="Times New Roman"/>
          <w:color w:val="000000" w:themeColor="text1"/>
        </w:rPr>
      </w:pPr>
      <w:r w:rsidRPr="00772247">
        <w:rPr>
          <w:rFonts w:eastAsia="Times New Roman"/>
          <w:color w:val="000000" w:themeColor="text1"/>
        </w:rPr>
        <w:t xml:space="preserve">2% reduction, which considered as not being worth the effort. This study along with study of McCalley and Midden (1998) both show that providing feedback alongside with goal setting have high potential for changing the behavior of end-users. </w:t>
      </w:r>
    </w:p>
    <w:p w14:paraId="0AF30949" w14:textId="77777777" w:rsidR="00695CDE" w:rsidRPr="00772247" w:rsidRDefault="00695CDE" w:rsidP="00772247">
      <w:pPr>
        <w:rPr>
          <w:rFonts w:eastAsia="Times New Roman"/>
          <w:color w:val="000000" w:themeColor="text1"/>
        </w:rPr>
      </w:pPr>
    </w:p>
    <w:p w14:paraId="28B7FC67" w14:textId="44139E46" w:rsidR="00695CDE" w:rsidRPr="00772247" w:rsidRDefault="008E3D09" w:rsidP="00772247">
      <w:pPr>
        <w:rPr>
          <w:rFonts w:eastAsia="Times New Roman"/>
          <w:b/>
          <w:color w:val="000000" w:themeColor="text1"/>
        </w:rPr>
      </w:pPr>
      <w:r w:rsidRPr="00772247">
        <w:rPr>
          <w:rFonts w:eastAsia="Times New Roman"/>
          <w:b/>
          <w:color w:val="000000" w:themeColor="text1"/>
        </w:rPr>
        <w:t xml:space="preserve">3) </w:t>
      </w:r>
      <w:r w:rsidR="00695CDE" w:rsidRPr="00772247">
        <w:rPr>
          <w:rFonts w:eastAsia="Times New Roman"/>
          <w:b/>
          <w:color w:val="000000" w:themeColor="text1"/>
        </w:rPr>
        <w:t xml:space="preserve">Commitment </w:t>
      </w:r>
    </w:p>
    <w:p w14:paraId="355ACED0" w14:textId="77777777" w:rsidR="00695CDE" w:rsidRPr="00772247" w:rsidRDefault="00695CDE" w:rsidP="00772247">
      <w:pPr>
        <w:rPr>
          <w:rFonts w:eastAsia="Times New Roman"/>
          <w:color w:val="000000" w:themeColor="text1"/>
        </w:rPr>
      </w:pPr>
    </w:p>
    <w:p w14:paraId="77BCE1C4" w14:textId="77777777" w:rsidR="00695CDE" w:rsidRPr="00772247" w:rsidRDefault="00695CDE" w:rsidP="00772247">
      <w:pPr>
        <w:rPr>
          <w:rFonts w:eastAsia="Times New Roman"/>
          <w:color w:val="000000" w:themeColor="text1"/>
        </w:rPr>
      </w:pPr>
      <w:r w:rsidRPr="00772247">
        <w:rPr>
          <w:rFonts w:eastAsia="Times New Roman"/>
          <w:color w:val="000000" w:themeColor="text1"/>
        </w:rPr>
        <w:t xml:space="preserve">Expression of commitment, e.g. through a pledge or a promise, increases chances of exhibiting persistent behavior. Commitment could be accompanied by a goal and it could be a self-pledge or a commitment to society. For example, one could make a self-pledge to reduce his or her energy consumption by five percent (personal norm activation) or could follow an announcement in a local newspaper to satisfy expectation of others; in this case social norms play a determinant role (Abrahamse et al., 2005; Gonzales et al., 1988, cited in Froehlich et al., 2010). </w:t>
      </w:r>
    </w:p>
    <w:p w14:paraId="242E2519" w14:textId="77777777" w:rsidR="00695CDE" w:rsidRPr="00772247" w:rsidRDefault="00695CDE" w:rsidP="00772247">
      <w:pPr>
        <w:rPr>
          <w:rFonts w:eastAsia="Times New Roman"/>
          <w:color w:val="000000" w:themeColor="text1"/>
        </w:rPr>
      </w:pPr>
    </w:p>
    <w:p w14:paraId="19520487" w14:textId="77777777" w:rsidR="00695CDE" w:rsidRPr="00772247" w:rsidRDefault="00695CDE" w:rsidP="00772247">
      <w:pPr>
        <w:rPr>
          <w:rFonts w:eastAsia="Times New Roman"/>
          <w:color w:val="000000" w:themeColor="text1"/>
        </w:rPr>
      </w:pPr>
      <w:r w:rsidRPr="00772247">
        <w:rPr>
          <w:rFonts w:eastAsia="Times New Roman"/>
          <w:color w:val="000000" w:themeColor="text1"/>
        </w:rPr>
        <w:t>The studies by Katzev and Johnson (1983) and Pallak and Cummings (1976) show that using a public and group commitment with a follow-up period strategy could bring about conservative behavior in case of electricity and gas consumption.</w:t>
      </w:r>
    </w:p>
    <w:p w14:paraId="7A847DB7" w14:textId="77777777" w:rsidR="00695CDE" w:rsidRPr="00772247" w:rsidRDefault="00695CDE" w:rsidP="00772247">
      <w:pPr>
        <w:rPr>
          <w:rFonts w:eastAsia="Times New Roman"/>
          <w:color w:val="000000" w:themeColor="text1"/>
        </w:rPr>
      </w:pPr>
    </w:p>
    <w:p w14:paraId="47D7CB0B" w14:textId="31CA7236" w:rsidR="00695CDE" w:rsidRPr="00772247" w:rsidRDefault="00E63D44" w:rsidP="00772247">
      <w:pPr>
        <w:rPr>
          <w:rFonts w:eastAsia="Times New Roman"/>
          <w:b/>
          <w:color w:val="000000" w:themeColor="text1"/>
        </w:rPr>
      </w:pPr>
      <w:r w:rsidRPr="00772247">
        <w:rPr>
          <w:rFonts w:eastAsia="Times New Roman"/>
          <w:b/>
          <w:color w:val="000000" w:themeColor="text1"/>
        </w:rPr>
        <w:t xml:space="preserve">4) </w:t>
      </w:r>
      <w:r w:rsidR="00695CDE" w:rsidRPr="00772247">
        <w:rPr>
          <w:rFonts w:eastAsia="Times New Roman"/>
          <w:b/>
          <w:color w:val="000000" w:themeColor="text1"/>
        </w:rPr>
        <w:t>Modeling</w:t>
      </w:r>
    </w:p>
    <w:p w14:paraId="3C953EB0" w14:textId="77777777" w:rsidR="00695CDE" w:rsidRPr="00772247" w:rsidRDefault="00695CDE" w:rsidP="00772247">
      <w:pPr>
        <w:rPr>
          <w:rFonts w:eastAsia="Times New Roman"/>
          <w:b/>
          <w:color w:val="000000" w:themeColor="text1"/>
        </w:rPr>
      </w:pPr>
    </w:p>
    <w:p w14:paraId="4492A9AC" w14:textId="77777777" w:rsidR="00695CDE" w:rsidRPr="00772247" w:rsidRDefault="00695CDE" w:rsidP="00772247">
      <w:pPr>
        <w:rPr>
          <w:rFonts w:eastAsia="Times New Roman"/>
          <w:color w:val="000000" w:themeColor="text1"/>
        </w:rPr>
      </w:pPr>
      <w:r w:rsidRPr="00772247">
        <w:rPr>
          <w:rFonts w:eastAsia="Times New Roman"/>
          <w:color w:val="000000" w:themeColor="text1"/>
        </w:rPr>
        <w:t>This strategy deals with providing examples of behavior that could be used as a model for others. Using an “understandable, relevant, meaningful, and rewarding (in terms of positive results)” model could motivate people to follow it. A study by Winett et al. (1985) focused on modeling by teaching measures for energy saving through a television program targeted at middle-class homeowners. The result was 10% reduction of electricity use compared to a control group that acted as baseline (cited in Abrahamse, 2005).</w:t>
      </w:r>
    </w:p>
    <w:p w14:paraId="49840D1E" w14:textId="77777777" w:rsidR="00695CDE" w:rsidRPr="00772247" w:rsidRDefault="00695CDE" w:rsidP="00772247">
      <w:pPr>
        <w:rPr>
          <w:rFonts w:eastAsia="Times New Roman"/>
          <w:b/>
          <w:color w:val="000000" w:themeColor="text1"/>
        </w:rPr>
      </w:pPr>
    </w:p>
    <w:p w14:paraId="69F8055F" w14:textId="2475C6FC" w:rsidR="00695CDE" w:rsidRPr="00772247" w:rsidRDefault="002D2A36" w:rsidP="00772247">
      <w:pPr>
        <w:rPr>
          <w:rFonts w:eastAsia="Times New Roman"/>
          <w:b/>
          <w:color w:val="000000" w:themeColor="text1"/>
        </w:rPr>
      </w:pPr>
      <w:r w:rsidRPr="00772247">
        <w:rPr>
          <w:rFonts w:eastAsia="Times New Roman"/>
          <w:b/>
          <w:color w:val="000000" w:themeColor="text1"/>
        </w:rPr>
        <w:t xml:space="preserve">5) </w:t>
      </w:r>
      <w:r w:rsidR="00695CDE" w:rsidRPr="00772247">
        <w:rPr>
          <w:rFonts w:eastAsia="Times New Roman"/>
          <w:b/>
          <w:color w:val="000000" w:themeColor="text1"/>
        </w:rPr>
        <w:t>Incentives / Disincentives</w:t>
      </w:r>
    </w:p>
    <w:p w14:paraId="6AF306AB" w14:textId="77777777" w:rsidR="00695CDE" w:rsidRPr="00772247" w:rsidRDefault="00695CDE" w:rsidP="00772247">
      <w:pPr>
        <w:rPr>
          <w:rFonts w:eastAsia="Times New Roman"/>
          <w:b/>
          <w:color w:val="000000" w:themeColor="text1"/>
        </w:rPr>
      </w:pPr>
    </w:p>
    <w:p w14:paraId="0853C350" w14:textId="77777777" w:rsidR="00695CDE" w:rsidRPr="00772247" w:rsidRDefault="00695CDE" w:rsidP="00772247">
      <w:pPr>
        <w:rPr>
          <w:rFonts w:eastAsia="Times New Roman"/>
          <w:color w:val="000000" w:themeColor="text1"/>
        </w:rPr>
      </w:pPr>
      <w:r w:rsidRPr="00772247">
        <w:rPr>
          <w:rFonts w:eastAsia="Times New Roman"/>
          <w:color w:val="000000" w:themeColor="text1"/>
        </w:rPr>
        <w:t>These could be used as a type of antecedent strategy, because they occur before performance of a given behavior; incentives or disincentives are used to motivate or discourage a person or group to perform an action.</w:t>
      </w:r>
    </w:p>
    <w:p w14:paraId="10788AD7" w14:textId="77777777" w:rsidR="00695CDE" w:rsidRPr="00772247" w:rsidRDefault="00695CDE" w:rsidP="00772247">
      <w:pPr>
        <w:rPr>
          <w:rFonts w:eastAsia="Times New Roman"/>
          <w:color w:val="000000" w:themeColor="text1"/>
        </w:rPr>
      </w:pPr>
    </w:p>
    <w:p w14:paraId="7B73051C" w14:textId="77777777" w:rsidR="00695CDE" w:rsidRPr="00772247" w:rsidRDefault="00695CDE" w:rsidP="00772247">
      <w:pPr>
        <w:rPr>
          <w:rFonts w:eastAsia="Times New Roman"/>
          <w:color w:val="000000" w:themeColor="text1"/>
        </w:rPr>
      </w:pPr>
      <w:r w:rsidRPr="00772247">
        <w:rPr>
          <w:rFonts w:eastAsia="Times New Roman"/>
          <w:color w:val="000000" w:themeColor="text1"/>
        </w:rPr>
        <w:t xml:space="preserve">It is not necessary for these strategies to be in monetary form. They are mostly useful for shaping efficiency behavior in end-users. For example, giving incentives for utilizing technological innovations such as energy efficient appliances or insulation methods in households could lead to wider usage of them. </w:t>
      </w:r>
    </w:p>
    <w:p w14:paraId="06980D6B" w14:textId="77777777" w:rsidR="00695CDE" w:rsidRPr="00772247" w:rsidRDefault="00695CDE" w:rsidP="00772247">
      <w:pPr>
        <w:rPr>
          <w:rFonts w:eastAsia="Times New Roman"/>
          <w:color w:val="000000" w:themeColor="text1"/>
        </w:rPr>
      </w:pPr>
    </w:p>
    <w:p w14:paraId="12477A4C" w14:textId="77777777" w:rsidR="00695CDE" w:rsidRPr="00772247" w:rsidRDefault="00695CDE" w:rsidP="00772247">
      <w:pPr>
        <w:rPr>
          <w:rFonts w:eastAsia="Times New Roman"/>
          <w:color w:val="000000" w:themeColor="text1"/>
        </w:rPr>
      </w:pPr>
      <w:r w:rsidRPr="00772247">
        <w:rPr>
          <w:rFonts w:eastAsia="Times New Roman"/>
          <w:color w:val="000000" w:themeColor="text1"/>
        </w:rPr>
        <w:t>An example of nonmonetary incentives could be providing special parking places for fuel-efficient vehicles in cities in order to encourage people to choose them instead of less efficient ones (Froehlich et al., 2010; Stern, 1999).</w:t>
      </w:r>
    </w:p>
    <w:p w14:paraId="5B2B6078" w14:textId="77777777" w:rsidR="00695CDE" w:rsidRPr="00772247" w:rsidRDefault="00695CDE" w:rsidP="00772247">
      <w:pPr>
        <w:rPr>
          <w:rFonts w:eastAsia="Times New Roman"/>
          <w:b/>
          <w:color w:val="000000" w:themeColor="text1"/>
        </w:rPr>
      </w:pPr>
    </w:p>
    <w:p w14:paraId="7CD46096" w14:textId="77777777" w:rsidR="00817262" w:rsidRPr="00772247" w:rsidRDefault="00817262" w:rsidP="00772247">
      <w:pPr>
        <w:rPr>
          <w:rFonts w:eastAsia="Times New Roman"/>
          <w:b/>
          <w:color w:val="000000" w:themeColor="text1"/>
        </w:rPr>
      </w:pPr>
    </w:p>
    <w:p w14:paraId="7A8A5F30" w14:textId="77777777" w:rsidR="00817262" w:rsidRPr="00772247" w:rsidRDefault="00817262" w:rsidP="00772247">
      <w:pPr>
        <w:rPr>
          <w:rFonts w:eastAsia="Times New Roman"/>
          <w:b/>
          <w:color w:val="000000" w:themeColor="text1"/>
        </w:rPr>
      </w:pPr>
    </w:p>
    <w:p w14:paraId="2A20B18A" w14:textId="77777777" w:rsidR="00695CDE" w:rsidRPr="00772247" w:rsidRDefault="00695CDE" w:rsidP="00772247">
      <w:pPr>
        <w:rPr>
          <w:rFonts w:eastAsia="Times New Roman"/>
          <w:b/>
          <w:color w:val="000000" w:themeColor="text1"/>
        </w:rPr>
      </w:pPr>
      <w:r w:rsidRPr="00772247">
        <w:rPr>
          <w:rFonts w:eastAsia="Times New Roman"/>
          <w:b/>
          <w:color w:val="000000" w:themeColor="text1"/>
        </w:rPr>
        <w:t>• Consequence strategies</w:t>
      </w:r>
    </w:p>
    <w:p w14:paraId="4347BBB9" w14:textId="77777777" w:rsidR="00695CDE" w:rsidRPr="00772247" w:rsidRDefault="00695CDE" w:rsidP="00772247">
      <w:pPr>
        <w:rPr>
          <w:rFonts w:eastAsia="Times New Roman"/>
          <w:b/>
          <w:color w:val="000000" w:themeColor="text1"/>
        </w:rPr>
      </w:pPr>
    </w:p>
    <w:p w14:paraId="31F971B6" w14:textId="026C0A22" w:rsidR="00695CDE" w:rsidRPr="00772247" w:rsidRDefault="00F95B8F" w:rsidP="00772247">
      <w:pPr>
        <w:rPr>
          <w:rFonts w:eastAsia="Times New Roman"/>
          <w:b/>
          <w:color w:val="000000" w:themeColor="text1"/>
        </w:rPr>
      </w:pPr>
      <w:r w:rsidRPr="00772247">
        <w:rPr>
          <w:rFonts w:eastAsia="Times New Roman"/>
          <w:b/>
          <w:color w:val="000000" w:themeColor="text1"/>
        </w:rPr>
        <w:t xml:space="preserve">1) </w:t>
      </w:r>
      <w:r w:rsidR="00695CDE" w:rsidRPr="00772247">
        <w:rPr>
          <w:rFonts w:eastAsia="Times New Roman"/>
          <w:b/>
          <w:color w:val="000000" w:themeColor="text1"/>
        </w:rPr>
        <w:t>Comparison</w:t>
      </w:r>
    </w:p>
    <w:p w14:paraId="498C3439" w14:textId="77777777" w:rsidR="00695CDE" w:rsidRPr="00772247" w:rsidRDefault="00695CDE" w:rsidP="00772247">
      <w:pPr>
        <w:rPr>
          <w:rFonts w:eastAsia="Times New Roman"/>
          <w:color w:val="000000" w:themeColor="text1"/>
        </w:rPr>
      </w:pPr>
    </w:p>
    <w:p w14:paraId="22BC5822" w14:textId="77777777" w:rsidR="00695CDE" w:rsidRPr="00772247" w:rsidRDefault="00695CDE" w:rsidP="00772247">
      <w:pPr>
        <w:rPr>
          <w:rFonts w:eastAsia="Times New Roman"/>
          <w:color w:val="000000" w:themeColor="text1"/>
        </w:rPr>
      </w:pPr>
      <w:r w:rsidRPr="00772247">
        <w:rPr>
          <w:rFonts w:eastAsia="Times New Roman"/>
          <w:color w:val="000000" w:themeColor="text1"/>
        </w:rPr>
        <w:t xml:space="preserve"> Comparing individuals or groups or even self-comparison of a person (e.g. with one’s previous behavior) could be an effective plan in encouraging pro-environmental behavior. Comparing individuals or groups could evoke a sense of competition, social comparison, or social pressure; this feeling could be increased when comparison is made to an important or relevant reference group. Combining comparison with feedback could lead to a more effective strategy (Abrahamse, 2005; Froehlich et al., 2010).</w:t>
      </w:r>
    </w:p>
    <w:p w14:paraId="2E8DD9A2" w14:textId="77777777" w:rsidR="00695CDE" w:rsidRPr="00772247" w:rsidRDefault="00695CDE" w:rsidP="00772247">
      <w:pPr>
        <w:rPr>
          <w:rFonts w:eastAsia="Times New Roman"/>
          <w:color w:val="000000" w:themeColor="text1"/>
        </w:rPr>
      </w:pPr>
    </w:p>
    <w:p w14:paraId="12E2E80F" w14:textId="3257AE15" w:rsidR="00695CDE" w:rsidRPr="00772247" w:rsidRDefault="00F95B8F" w:rsidP="00772247">
      <w:pPr>
        <w:rPr>
          <w:rFonts w:eastAsia="Times New Roman"/>
          <w:color w:val="000000" w:themeColor="text1"/>
        </w:rPr>
      </w:pPr>
      <w:r w:rsidRPr="00772247">
        <w:rPr>
          <w:rFonts w:eastAsia="Times New Roman"/>
          <w:b/>
          <w:color w:val="000000" w:themeColor="text1"/>
        </w:rPr>
        <w:t>2)</w:t>
      </w:r>
      <w:r w:rsidRPr="00772247">
        <w:rPr>
          <w:rFonts w:eastAsia="Times New Roman"/>
          <w:color w:val="000000" w:themeColor="text1"/>
        </w:rPr>
        <w:t xml:space="preserve"> </w:t>
      </w:r>
      <w:r w:rsidR="00695CDE" w:rsidRPr="00772247">
        <w:rPr>
          <w:rFonts w:eastAsia="Times New Roman"/>
          <w:b/>
          <w:color w:val="000000" w:themeColor="text1"/>
        </w:rPr>
        <w:t>Rewards / Penalties</w:t>
      </w:r>
    </w:p>
    <w:p w14:paraId="25ED3083" w14:textId="77777777" w:rsidR="00695CDE" w:rsidRPr="00772247" w:rsidRDefault="00695CDE" w:rsidP="00772247">
      <w:pPr>
        <w:rPr>
          <w:rFonts w:eastAsia="Times New Roman"/>
          <w:color w:val="000000" w:themeColor="text1"/>
        </w:rPr>
      </w:pPr>
    </w:p>
    <w:p w14:paraId="176AD9C0" w14:textId="77777777" w:rsidR="00695CDE" w:rsidRPr="00772247" w:rsidRDefault="00695CDE" w:rsidP="00772247">
      <w:pPr>
        <w:rPr>
          <w:rFonts w:eastAsia="Times New Roman"/>
          <w:color w:val="000000" w:themeColor="text1"/>
        </w:rPr>
      </w:pPr>
      <w:r w:rsidRPr="00772247">
        <w:rPr>
          <w:rFonts w:eastAsia="Times New Roman"/>
          <w:color w:val="000000" w:themeColor="text1"/>
        </w:rPr>
        <w:t xml:space="preserve">This is another method for motivating responsible behavior. It must be noted that there is a difference between strategies of rewards and penalties and strategies based on incentives and disincentives. As mentioned before, strategies of providing incentives and disincentives are among antecedent strategies, but rewards and penalties are consequence motivating techniques that appear after a behavior. They are mostly useful for shaping curtailment behaviors. (Froehlich et al., 2010; Gardner &amp; Stern, 1996) </w:t>
      </w:r>
    </w:p>
    <w:p w14:paraId="79304B27" w14:textId="77777777" w:rsidR="00695CDE" w:rsidRPr="00772247" w:rsidRDefault="00695CDE" w:rsidP="00772247">
      <w:pPr>
        <w:rPr>
          <w:rFonts w:eastAsia="Times New Roman"/>
          <w:color w:val="000000" w:themeColor="text1"/>
        </w:rPr>
      </w:pPr>
    </w:p>
    <w:p w14:paraId="4CBFFE0B" w14:textId="77777777" w:rsidR="00695CDE" w:rsidRPr="00772247" w:rsidRDefault="00695CDE" w:rsidP="00772247">
      <w:pPr>
        <w:rPr>
          <w:rFonts w:eastAsia="Times New Roman"/>
          <w:color w:val="000000" w:themeColor="text1"/>
        </w:rPr>
      </w:pPr>
      <w:r w:rsidRPr="00772247">
        <w:rPr>
          <w:rFonts w:eastAsia="Times New Roman"/>
          <w:color w:val="000000" w:themeColor="text1"/>
        </w:rPr>
        <w:t xml:space="preserve">Most of the studies reviewed by Abrahamse et al. (2005) show the positive effects of reward strategies on energy savings in the form of significant difference between those who were offered rewards and those who were not. </w:t>
      </w:r>
    </w:p>
    <w:p w14:paraId="7C81D4F8" w14:textId="77777777" w:rsidR="00695CDE" w:rsidRPr="00772247" w:rsidRDefault="00695CDE" w:rsidP="00772247">
      <w:pPr>
        <w:rPr>
          <w:rFonts w:eastAsia="Times New Roman"/>
          <w:color w:val="000000" w:themeColor="text1"/>
        </w:rPr>
      </w:pPr>
    </w:p>
    <w:p w14:paraId="1BD41A4B" w14:textId="77777777" w:rsidR="00695CDE" w:rsidRPr="00772247" w:rsidRDefault="00695CDE" w:rsidP="00772247">
      <w:pPr>
        <w:rPr>
          <w:rFonts w:eastAsia="Times New Roman"/>
          <w:color w:val="000000" w:themeColor="text1"/>
        </w:rPr>
      </w:pPr>
      <w:r w:rsidRPr="00772247">
        <w:rPr>
          <w:rFonts w:eastAsia="Times New Roman"/>
          <w:color w:val="000000" w:themeColor="text1"/>
        </w:rPr>
        <w:t>It is not necessary for the reward to be monetary; even a nominal award, e.g. an acknowledgement of positive behavior, or game-like awards such as points and levels could promote a sustainable behavior (Froehlich et al., 2010).</w:t>
      </w:r>
    </w:p>
    <w:p w14:paraId="33016DD0" w14:textId="77777777" w:rsidR="00695CDE" w:rsidRPr="00772247" w:rsidRDefault="00695CDE" w:rsidP="00772247">
      <w:pPr>
        <w:rPr>
          <w:rFonts w:eastAsia="Times New Roman"/>
          <w:color w:val="000000" w:themeColor="text1"/>
        </w:rPr>
      </w:pPr>
    </w:p>
    <w:p w14:paraId="58DE91BD" w14:textId="631E7D69" w:rsidR="00695CDE" w:rsidRPr="00772247" w:rsidRDefault="00F95B8F" w:rsidP="00772247">
      <w:pPr>
        <w:rPr>
          <w:rFonts w:eastAsia="Times New Roman"/>
          <w:b/>
          <w:color w:val="000000" w:themeColor="text1"/>
        </w:rPr>
      </w:pPr>
      <w:r w:rsidRPr="00772247">
        <w:rPr>
          <w:rFonts w:eastAsia="Times New Roman"/>
          <w:b/>
          <w:color w:val="000000" w:themeColor="text1"/>
        </w:rPr>
        <w:t>3)</w:t>
      </w:r>
      <w:r w:rsidR="00695CDE" w:rsidRPr="00772247">
        <w:rPr>
          <w:rFonts w:eastAsia="Times New Roman"/>
          <w:b/>
          <w:color w:val="000000" w:themeColor="text1"/>
        </w:rPr>
        <w:t xml:space="preserve"> Feedback</w:t>
      </w:r>
    </w:p>
    <w:p w14:paraId="6D89DCF2" w14:textId="77777777" w:rsidR="00695CDE" w:rsidRPr="00772247" w:rsidRDefault="00695CDE" w:rsidP="00772247">
      <w:pPr>
        <w:rPr>
          <w:rFonts w:eastAsia="Times New Roman"/>
          <w:color w:val="000000" w:themeColor="text1"/>
        </w:rPr>
      </w:pPr>
    </w:p>
    <w:p w14:paraId="5CEE0F39" w14:textId="77777777" w:rsidR="00695CDE" w:rsidRPr="00772247" w:rsidRDefault="00695CDE" w:rsidP="00772247">
      <w:pPr>
        <w:rPr>
          <w:rFonts w:eastAsia="Times New Roman"/>
          <w:color w:val="000000" w:themeColor="text1"/>
        </w:rPr>
      </w:pPr>
      <w:r w:rsidRPr="00772247">
        <w:rPr>
          <w:rFonts w:eastAsia="Times New Roman"/>
          <w:color w:val="000000" w:themeColor="text1"/>
        </w:rPr>
        <w:t xml:space="preserve">It is well established in psychology that providing feedback has positive effects on performance. It could be in the form of low-level feedback or high-level feedback. Low-level feedback provides explicit detail regarding the impact of a behavior while high-level feedback gives general positive or negative comments on a behavior (Froehlich et al., 2010). </w:t>
      </w:r>
    </w:p>
    <w:p w14:paraId="33CAD958" w14:textId="77777777" w:rsidR="00695CDE" w:rsidRPr="00772247" w:rsidRDefault="00695CDE" w:rsidP="00772247">
      <w:pPr>
        <w:rPr>
          <w:rFonts w:eastAsia="Times New Roman"/>
          <w:color w:val="000000" w:themeColor="text1"/>
        </w:rPr>
      </w:pPr>
    </w:p>
    <w:p w14:paraId="0800E46E" w14:textId="070B82D4" w:rsidR="00695CDE" w:rsidRPr="00772247" w:rsidRDefault="00695CDE" w:rsidP="00772247">
      <w:pPr>
        <w:rPr>
          <w:rFonts w:eastAsia="Times New Roman"/>
          <w:color w:val="000000" w:themeColor="text1"/>
        </w:rPr>
      </w:pPr>
      <w:r w:rsidRPr="00772247">
        <w:rPr>
          <w:rFonts w:eastAsia="Times New Roman"/>
          <w:color w:val="000000" w:themeColor="text1"/>
        </w:rPr>
        <w:t>Normally, most people are unaware of how they are affecting environment by their daily behaviors such as driving to work or showering. Providing this information to individuals may bridge this “environmental literacy gap”. (Froehlich et al., 2010) According to McCalley and Midden (1998), “it is possible to generate responsible conservation behavior using eco-feedback</w:t>
      </w:r>
      <w:r w:rsidR="002E7BF0" w:rsidRPr="00772247">
        <w:rPr>
          <w:rFonts w:eastAsia="Times New Roman"/>
          <w:color w:val="000000" w:themeColor="text1"/>
        </w:rPr>
        <w:t>”</w:t>
      </w:r>
      <w:r w:rsidRPr="00772247">
        <w:rPr>
          <w:rFonts w:eastAsia="Times New Roman"/>
          <w:color w:val="000000" w:themeColor="text1"/>
        </w:rPr>
        <w:t>.</w:t>
      </w:r>
    </w:p>
    <w:p w14:paraId="2548132C" w14:textId="77777777" w:rsidR="00695CDE" w:rsidRPr="00772247" w:rsidRDefault="00695CDE" w:rsidP="00772247">
      <w:pPr>
        <w:rPr>
          <w:rFonts w:eastAsia="Times New Roman"/>
          <w:color w:val="000000" w:themeColor="text1"/>
        </w:rPr>
      </w:pPr>
    </w:p>
    <w:p w14:paraId="59145633" w14:textId="77777777" w:rsidR="00695CDE" w:rsidRPr="00772247" w:rsidRDefault="00695CDE" w:rsidP="00772247">
      <w:pPr>
        <w:rPr>
          <w:rFonts w:eastAsia="Times New Roman"/>
          <w:color w:val="000000" w:themeColor="text1"/>
        </w:rPr>
      </w:pPr>
      <w:r w:rsidRPr="00772247">
        <w:rPr>
          <w:rFonts w:eastAsia="Times New Roman"/>
          <w:color w:val="000000" w:themeColor="text1"/>
        </w:rPr>
        <w:t>Eco-feedback is a strategy to engage people in “environmentally responsible behavior”. When people have a measure to relate certain outcomes such as energy savings with their own behavior, they become more motivated and this could be done by utilizing feedback, especially when it is provided immediately after an action (Abrahamse, 2005; Fischer, 2008; Geller, 2002).</w:t>
      </w:r>
    </w:p>
    <w:p w14:paraId="7C3BCCD9" w14:textId="77777777" w:rsidR="00695CDE" w:rsidRPr="00772247" w:rsidRDefault="00695CDE" w:rsidP="00772247">
      <w:pPr>
        <w:rPr>
          <w:rFonts w:eastAsia="Times New Roman"/>
          <w:color w:val="000000" w:themeColor="text1"/>
        </w:rPr>
      </w:pPr>
    </w:p>
    <w:p w14:paraId="1D2E975F" w14:textId="77777777" w:rsidR="00695CDE" w:rsidRPr="00772247" w:rsidRDefault="00695CDE" w:rsidP="00772247">
      <w:pPr>
        <w:rPr>
          <w:rFonts w:eastAsia="Times New Roman"/>
          <w:color w:val="000000" w:themeColor="text1"/>
        </w:rPr>
      </w:pPr>
      <w:r w:rsidRPr="00772247">
        <w:rPr>
          <w:rFonts w:eastAsia="Times New Roman"/>
          <w:color w:val="000000" w:themeColor="text1"/>
        </w:rPr>
        <w:t xml:space="preserve">Based on studies reviewed by Abrahamse (2005) and Fischer (2008), three important characteristics are recognizable for designing constructive feedback: </w:t>
      </w:r>
    </w:p>
    <w:p w14:paraId="1F71D8C7" w14:textId="77777777" w:rsidR="00695CDE" w:rsidRPr="00772247" w:rsidRDefault="00695CDE" w:rsidP="00772247">
      <w:pPr>
        <w:rPr>
          <w:rFonts w:eastAsia="Times New Roman"/>
          <w:color w:val="000000" w:themeColor="text1"/>
        </w:rPr>
      </w:pPr>
    </w:p>
    <w:p w14:paraId="6D9605C9" w14:textId="77777777" w:rsidR="00695CDE" w:rsidRPr="00772247" w:rsidRDefault="00695CDE" w:rsidP="00772247">
      <w:pPr>
        <w:rPr>
          <w:rFonts w:eastAsia="Times New Roman"/>
          <w:color w:val="000000" w:themeColor="text1"/>
        </w:rPr>
      </w:pPr>
      <w:r w:rsidRPr="00772247">
        <w:rPr>
          <w:rFonts w:eastAsia="Times New Roman"/>
          <w:color w:val="000000" w:themeColor="text1"/>
        </w:rPr>
        <w:t xml:space="preserve">• </w:t>
      </w:r>
      <w:r w:rsidRPr="00772247">
        <w:rPr>
          <w:rFonts w:eastAsia="Times New Roman"/>
          <w:b/>
          <w:color w:val="000000" w:themeColor="text1"/>
        </w:rPr>
        <w:t>Frequency:</w:t>
      </w:r>
      <w:r w:rsidRPr="00772247">
        <w:rPr>
          <w:rFonts w:eastAsia="Times New Roman"/>
          <w:color w:val="000000" w:themeColor="text1"/>
        </w:rPr>
        <w:t xml:space="preserve"> it could be continuous, e.g. real-time and constant representation of data, or discontinuous, e.g. provision of data in form of monthly or annually reports. </w:t>
      </w:r>
    </w:p>
    <w:p w14:paraId="2F68D267" w14:textId="77777777" w:rsidR="00695CDE" w:rsidRPr="00772247" w:rsidRDefault="00695CDE" w:rsidP="00772247">
      <w:pPr>
        <w:rPr>
          <w:rFonts w:eastAsia="Times New Roman"/>
          <w:color w:val="000000" w:themeColor="text1"/>
        </w:rPr>
      </w:pPr>
    </w:p>
    <w:p w14:paraId="635C7FEC" w14:textId="77777777" w:rsidR="00695CDE" w:rsidRPr="00772247" w:rsidRDefault="00695CDE" w:rsidP="00772247">
      <w:pPr>
        <w:rPr>
          <w:rFonts w:eastAsia="Times New Roman"/>
          <w:color w:val="000000" w:themeColor="text1"/>
        </w:rPr>
      </w:pPr>
      <w:r w:rsidRPr="00772247">
        <w:rPr>
          <w:rFonts w:eastAsia="Times New Roman"/>
          <w:color w:val="000000" w:themeColor="text1"/>
        </w:rPr>
        <w:t xml:space="preserve">• </w:t>
      </w:r>
      <w:r w:rsidRPr="00772247">
        <w:rPr>
          <w:rFonts w:eastAsia="Times New Roman"/>
          <w:b/>
          <w:color w:val="000000" w:themeColor="text1"/>
        </w:rPr>
        <w:t>Contents:</w:t>
      </w:r>
      <w:r w:rsidRPr="00772247">
        <w:rPr>
          <w:rFonts w:eastAsia="Times New Roman"/>
          <w:color w:val="000000" w:themeColor="text1"/>
        </w:rPr>
        <w:t xml:space="preserve"> it must be understandable and interesting for users, e.g. giving information regarding costs or amounts of customers’ energy consumption. </w:t>
      </w:r>
    </w:p>
    <w:p w14:paraId="6EA47E03" w14:textId="77777777" w:rsidR="00695CDE" w:rsidRPr="00772247" w:rsidRDefault="00695CDE" w:rsidP="00772247">
      <w:pPr>
        <w:rPr>
          <w:rFonts w:eastAsia="Times New Roman"/>
          <w:color w:val="000000" w:themeColor="text1"/>
        </w:rPr>
      </w:pPr>
    </w:p>
    <w:p w14:paraId="37832DE7" w14:textId="77777777" w:rsidR="00695CDE" w:rsidRPr="00772247" w:rsidRDefault="00695CDE" w:rsidP="00772247">
      <w:pPr>
        <w:rPr>
          <w:rFonts w:eastAsia="Times New Roman"/>
          <w:color w:val="000000" w:themeColor="text1"/>
        </w:rPr>
      </w:pPr>
      <w:r w:rsidRPr="00772247">
        <w:rPr>
          <w:rFonts w:eastAsia="Times New Roman"/>
          <w:color w:val="000000" w:themeColor="text1"/>
        </w:rPr>
        <w:t xml:space="preserve">• </w:t>
      </w:r>
      <w:r w:rsidRPr="00772247">
        <w:rPr>
          <w:rFonts w:eastAsia="Times New Roman"/>
          <w:b/>
          <w:color w:val="000000" w:themeColor="text1"/>
        </w:rPr>
        <w:t>Scaling:</w:t>
      </w:r>
      <w:r w:rsidRPr="00772247">
        <w:rPr>
          <w:rFonts w:eastAsia="Times New Roman"/>
          <w:color w:val="000000" w:themeColor="text1"/>
        </w:rPr>
        <w:t xml:space="preserve"> it could be comparative, e.g. comparing performance of individuals or groups to others or their own-self (for example comparing with previous performance), or non-comparative, e.g. only representing the current performance</w:t>
      </w:r>
    </w:p>
    <w:p w14:paraId="3E84D7A7" w14:textId="77777777" w:rsidR="00695CDE" w:rsidRPr="00772247" w:rsidRDefault="00695CDE" w:rsidP="00772247">
      <w:pPr>
        <w:rPr>
          <w:rFonts w:eastAsia="Times New Roman"/>
          <w:color w:val="000000" w:themeColor="text1"/>
        </w:rPr>
      </w:pPr>
    </w:p>
    <w:p w14:paraId="0951E841" w14:textId="77777777" w:rsidR="00695CDE" w:rsidRPr="00772247" w:rsidRDefault="00695CDE" w:rsidP="00772247">
      <w:pPr>
        <w:rPr>
          <w:rFonts w:eastAsia="Times New Roman"/>
          <w:color w:val="000000" w:themeColor="text1"/>
        </w:rPr>
      </w:pPr>
      <w:r w:rsidRPr="00772247">
        <w:rPr>
          <w:rFonts w:eastAsia="Times New Roman"/>
          <w:color w:val="000000" w:themeColor="text1"/>
        </w:rPr>
        <w:t xml:space="preserve">In the case </w:t>
      </w:r>
      <w:r w:rsidRPr="00772247">
        <w:rPr>
          <w:rFonts w:eastAsia="Times New Roman"/>
          <w:b/>
          <w:color w:val="000000" w:themeColor="text1"/>
        </w:rPr>
        <w:t>of energy usage</w:t>
      </w:r>
      <w:r w:rsidRPr="00772247">
        <w:rPr>
          <w:rFonts w:eastAsia="Times New Roman"/>
          <w:color w:val="000000" w:themeColor="text1"/>
        </w:rPr>
        <w:t xml:space="preserve">, especially </w:t>
      </w:r>
      <w:r w:rsidRPr="00772247">
        <w:rPr>
          <w:rFonts w:eastAsia="Times New Roman"/>
          <w:b/>
          <w:color w:val="000000" w:themeColor="text1"/>
        </w:rPr>
        <w:t>electricity</w:t>
      </w:r>
      <w:r w:rsidRPr="00772247">
        <w:rPr>
          <w:rFonts w:eastAsia="Times New Roman"/>
          <w:color w:val="000000" w:themeColor="text1"/>
        </w:rPr>
        <w:t xml:space="preserve">, providing a well-designed eco-feedback system could lead to reduction in end-user consumption. </w:t>
      </w:r>
    </w:p>
    <w:p w14:paraId="2647BD23" w14:textId="77777777" w:rsidR="00695CDE" w:rsidRPr="00772247" w:rsidRDefault="00695CDE" w:rsidP="00772247">
      <w:pPr>
        <w:rPr>
          <w:rFonts w:eastAsia="Times New Roman"/>
          <w:color w:val="000000" w:themeColor="text1"/>
        </w:rPr>
      </w:pPr>
    </w:p>
    <w:p w14:paraId="292FB20C" w14:textId="77777777" w:rsidR="00695CDE" w:rsidRPr="00772247" w:rsidRDefault="00695CDE" w:rsidP="00772247">
      <w:pPr>
        <w:rPr>
          <w:rFonts w:eastAsia="Times New Roman"/>
          <w:color w:val="000000" w:themeColor="text1"/>
        </w:rPr>
      </w:pPr>
      <w:r w:rsidRPr="00772247">
        <w:rPr>
          <w:rFonts w:eastAsia="Times New Roman"/>
          <w:color w:val="000000" w:themeColor="text1"/>
        </w:rPr>
        <w:t>Normally, it is</w:t>
      </w:r>
      <w:r w:rsidRPr="00772247">
        <w:rPr>
          <w:rFonts w:eastAsia="Times New Roman"/>
          <w:b/>
          <w:color w:val="000000" w:themeColor="text1"/>
        </w:rPr>
        <w:t xml:space="preserve"> hard </w:t>
      </w:r>
      <w:r w:rsidRPr="00772247">
        <w:rPr>
          <w:rFonts w:eastAsia="Times New Roman"/>
          <w:color w:val="000000" w:themeColor="text1"/>
        </w:rPr>
        <w:t xml:space="preserve">to motivate people to control their electricity usage. This is mostly because electricity is an “abstract, invisible, and untouchable” product and service. It is not an end product, but a driver for other products and services. Due to the invisibility of electricity, people have almost no direct interaction with it and receive little feedback on their consumption pattern, e.g. only from monthly bills. Eco-feedback is a way to make electricity and its consumption, costs, and environmental impact visible to users. </w:t>
      </w:r>
    </w:p>
    <w:p w14:paraId="25CE3108" w14:textId="77777777" w:rsidR="00695CDE" w:rsidRPr="00772247" w:rsidRDefault="00695CDE" w:rsidP="00772247">
      <w:pPr>
        <w:rPr>
          <w:rFonts w:eastAsia="Times New Roman"/>
          <w:color w:val="000000" w:themeColor="text1"/>
        </w:rPr>
      </w:pPr>
    </w:p>
    <w:p w14:paraId="723BBBFF" w14:textId="77777777" w:rsidR="00695CDE" w:rsidRPr="00772247" w:rsidRDefault="00695CDE" w:rsidP="00772247">
      <w:pPr>
        <w:rPr>
          <w:rFonts w:eastAsia="Times New Roman"/>
          <w:b/>
          <w:color w:val="000000" w:themeColor="text1"/>
        </w:rPr>
      </w:pPr>
      <w:r w:rsidRPr="00772247">
        <w:rPr>
          <w:rFonts w:eastAsia="Times New Roman"/>
          <w:color w:val="000000" w:themeColor="text1"/>
        </w:rPr>
        <w:t>Designing of eco-feedback is very important for achieving good performance and results on energy consumption. Fischer (2008) suggests that a successful feedback approach for electricity usage usually has following characteristics:</w:t>
      </w:r>
      <w:r w:rsidRPr="00772247">
        <w:rPr>
          <w:rFonts w:eastAsia="Times New Roman"/>
          <w:b/>
          <w:color w:val="000000" w:themeColor="text1"/>
        </w:rPr>
        <w:t xml:space="preserve"> </w:t>
      </w:r>
    </w:p>
    <w:p w14:paraId="78A81966" w14:textId="77777777" w:rsidR="00695CDE" w:rsidRPr="00772247" w:rsidRDefault="00695CDE" w:rsidP="00772247">
      <w:pPr>
        <w:rPr>
          <w:rFonts w:eastAsia="Times New Roman"/>
          <w:b/>
          <w:color w:val="000000" w:themeColor="text1"/>
        </w:rPr>
      </w:pPr>
    </w:p>
    <w:p w14:paraId="63E35052" w14:textId="77777777" w:rsidR="00695CDE" w:rsidRPr="00772247" w:rsidRDefault="00695CDE" w:rsidP="00772247">
      <w:pPr>
        <w:rPr>
          <w:rFonts w:eastAsia="Times New Roman"/>
          <w:b/>
          <w:color w:val="000000" w:themeColor="text1"/>
        </w:rPr>
      </w:pPr>
      <w:r w:rsidRPr="00772247">
        <w:rPr>
          <w:rFonts w:eastAsia="Times New Roman"/>
          <w:b/>
          <w:color w:val="000000" w:themeColor="text1"/>
        </w:rPr>
        <w:t xml:space="preserve">• “it is given frequently and over a long time; </w:t>
      </w:r>
    </w:p>
    <w:p w14:paraId="228D33C8" w14:textId="77777777" w:rsidR="00695CDE" w:rsidRPr="00772247" w:rsidRDefault="00695CDE" w:rsidP="00772247">
      <w:pPr>
        <w:rPr>
          <w:rFonts w:eastAsia="Times New Roman"/>
          <w:b/>
          <w:color w:val="000000" w:themeColor="text1"/>
        </w:rPr>
      </w:pPr>
      <w:r w:rsidRPr="00772247">
        <w:rPr>
          <w:rFonts w:eastAsia="Times New Roman"/>
          <w:b/>
          <w:color w:val="000000" w:themeColor="text1"/>
        </w:rPr>
        <w:t xml:space="preserve">• provide an appliance-specific breakdown; </w:t>
      </w:r>
    </w:p>
    <w:p w14:paraId="1E0838E7" w14:textId="77777777" w:rsidR="00695CDE" w:rsidRPr="00772247" w:rsidRDefault="00695CDE" w:rsidP="00772247">
      <w:pPr>
        <w:rPr>
          <w:rFonts w:eastAsia="Times New Roman"/>
          <w:b/>
          <w:color w:val="000000" w:themeColor="text1"/>
        </w:rPr>
      </w:pPr>
      <w:r w:rsidRPr="00772247">
        <w:rPr>
          <w:rFonts w:eastAsia="Times New Roman"/>
          <w:b/>
          <w:color w:val="000000" w:themeColor="text1"/>
        </w:rPr>
        <w:t xml:space="preserve">• is presented in a clear and appealing way; </w:t>
      </w:r>
    </w:p>
    <w:p w14:paraId="3C7BC711" w14:textId="77777777" w:rsidR="00695CDE" w:rsidRPr="00772247" w:rsidRDefault="00695CDE" w:rsidP="00772247">
      <w:pPr>
        <w:rPr>
          <w:rFonts w:eastAsia="Times New Roman"/>
          <w:b/>
          <w:color w:val="000000" w:themeColor="text1"/>
        </w:rPr>
      </w:pPr>
      <w:r w:rsidRPr="00772247">
        <w:rPr>
          <w:rFonts w:eastAsia="Times New Roman"/>
          <w:b/>
          <w:color w:val="000000" w:themeColor="text1"/>
        </w:rPr>
        <w:t>• and uses computerized and interactive tools.”</w:t>
      </w:r>
    </w:p>
    <w:p w14:paraId="7390A626" w14:textId="77777777" w:rsidR="00695CDE" w:rsidRPr="00772247" w:rsidRDefault="00695CDE" w:rsidP="00772247">
      <w:pPr>
        <w:widowControl w:val="0"/>
        <w:autoSpaceDE w:val="0"/>
        <w:autoSpaceDN w:val="0"/>
        <w:adjustRightInd w:val="0"/>
        <w:spacing w:after="240"/>
        <w:rPr>
          <w:color w:val="000000" w:themeColor="text1"/>
        </w:rPr>
      </w:pPr>
    </w:p>
    <w:p w14:paraId="0F42EAE1" w14:textId="77777777" w:rsidR="00695CDE" w:rsidRPr="00772247" w:rsidRDefault="00695CDE" w:rsidP="00772247">
      <w:pPr>
        <w:widowControl w:val="0"/>
        <w:autoSpaceDE w:val="0"/>
        <w:autoSpaceDN w:val="0"/>
        <w:adjustRightInd w:val="0"/>
        <w:rPr>
          <w:color w:val="000000" w:themeColor="text1"/>
        </w:rPr>
      </w:pPr>
      <w:r w:rsidRPr="00772247">
        <w:rPr>
          <w:color w:val="000000" w:themeColor="text1"/>
        </w:rPr>
        <w:t xml:space="preserve">Direct and indirect feedback (bills) from energy suppliers has been, so far, the most successful </w:t>
      </w:r>
    </w:p>
    <w:p w14:paraId="153982F2" w14:textId="77777777" w:rsidR="00695CDE" w:rsidRPr="00772247" w:rsidRDefault="00695CDE" w:rsidP="00772247">
      <w:pPr>
        <w:widowControl w:val="0"/>
        <w:autoSpaceDE w:val="0"/>
        <w:autoSpaceDN w:val="0"/>
        <w:adjustRightInd w:val="0"/>
        <w:rPr>
          <w:color w:val="000000" w:themeColor="text1"/>
        </w:rPr>
      </w:pPr>
      <w:r w:rsidRPr="00772247">
        <w:rPr>
          <w:color w:val="000000" w:themeColor="text1"/>
        </w:rPr>
        <w:t xml:space="preserve">in changing consumer behavior and achieve energy savings. </w:t>
      </w:r>
    </w:p>
    <w:p w14:paraId="5A614326" w14:textId="77777777" w:rsidR="00695CDE" w:rsidRPr="00772247" w:rsidRDefault="00695CDE" w:rsidP="00772247">
      <w:pPr>
        <w:widowControl w:val="0"/>
        <w:autoSpaceDE w:val="0"/>
        <w:autoSpaceDN w:val="0"/>
        <w:adjustRightInd w:val="0"/>
        <w:rPr>
          <w:color w:val="000000" w:themeColor="text1"/>
        </w:rPr>
      </w:pPr>
      <w:r w:rsidRPr="00772247">
        <w:rPr>
          <w:color w:val="000000" w:themeColor="text1"/>
        </w:rPr>
        <w:t xml:space="preserve">The report suggests that policy makers seem focused more on the instrument itself than on the behavior and consumption practice that needs to be affected. </w:t>
      </w:r>
    </w:p>
    <w:p w14:paraId="72673079" w14:textId="77777777" w:rsidR="00695CDE" w:rsidRPr="00772247" w:rsidRDefault="00695CDE" w:rsidP="00772247">
      <w:pPr>
        <w:shd w:val="clear" w:color="auto" w:fill="FFFFFF"/>
        <w:textAlignment w:val="baseline"/>
        <w:rPr>
          <w:color w:val="000000" w:themeColor="text1"/>
        </w:rPr>
      </w:pPr>
    </w:p>
    <w:p w14:paraId="7BBB929B" w14:textId="77777777" w:rsidR="00695CDE" w:rsidRPr="00772247" w:rsidRDefault="00695CDE" w:rsidP="00772247">
      <w:pPr>
        <w:rPr>
          <w:rFonts w:eastAsia="Times New Roman"/>
          <w:b/>
          <w:color w:val="000000" w:themeColor="text1"/>
        </w:rPr>
      </w:pPr>
      <w:r w:rsidRPr="00772247">
        <w:rPr>
          <w:rFonts w:eastAsia="Times New Roman"/>
          <w:b/>
          <w:color w:val="000000" w:themeColor="text1"/>
        </w:rPr>
        <w:t xml:space="preserve">Today’s utility customer only spends about 9 minutes thinking about their energy consumption each year, so utilities are challenged to make every moment of customer contact matter. </w:t>
      </w:r>
    </w:p>
    <w:p w14:paraId="65F43FDD" w14:textId="77777777" w:rsidR="00695CDE" w:rsidRPr="00772247" w:rsidRDefault="00695CDE" w:rsidP="00772247">
      <w:pPr>
        <w:rPr>
          <w:rFonts w:eastAsia="Times New Roman"/>
          <w:color w:val="000000" w:themeColor="text1"/>
        </w:rPr>
      </w:pPr>
    </w:p>
    <w:p w14:paraId="6642EF5A" w14:textId="06646D8C" w:rsidR="00695CDE" w:rsidRPr="00772247" w:rsidRDefault="00695CDE" w:rsidP="00772247">
      <w:pPr>
        <w:rPr>
          <w:rFonts w:eastAsia="Times New Roman"/>
          <w:color w:val="000000" w:themeColor="text1"/>
        </w:rPr>
      </w:pPr>
      <w:r w:rsidRPr="00772247">
        <w:rPr>
          <w:rFonts w:eastAsia="Times New Roman"/>
          <w:color w:val="000000" w:themeColor="text1"/>
        </w:rPr>
        <w:t>The literature on the so-called “rebound effect” holds that efficiency improvements can paradoxically lead to higher energy use. According to an often used example, if someone invests in more efficient air-conditioning, he keeps his energy bill constant by adjusting the thermostat on the new device</w:t>
      </w:r>
      <w:r w:rsidR="0043526E" w:rsidRPr="00772247">
        <w:rPr>
          <w:rFonts w:eastAsia="Times New Roman"/>
          <w:color w:val="000000" w:themeColor="text1"/>
        </w:rPr>
        <w:t>.</w:t>
      </w:r>
      <w:r w:rsidRPr="00772247">
        <w:rPr>
          <w:rStyle w:val="FootnoteReference"/>
          <w:rFonts w:eastAsia="Times New Roman"/>
          <w:color w:val="000000" w:themeColor="text1"/>
        </w:rPr>
        <w:footnoteReference w:id="2"/>
      </w:r>
    </w:p>
    <w:p w14:paraId="30E54961" w14:textId="77777777" w:rsidR="00695CDE" w:rsidRPr="00772247" w:rsidRDefault="00695CDE" w:rsidP="00772247">
      <w:pPr>
        <w:rPr>
          <w:rFonts w:eastAsia="Times New Roman"/>
          <w:color w:val="000000" w:themeColor="text1"/>
        </w:rPr>
      </w:pPr>
    </w:p>
    <w:p w14:paraId="673CE77A" w14:textId="77777777" w:rsidR="00695CDE" w:rsidRPr="00772247" w:rsidRDefault="00695CDE" w:rsidP="00772247">
      <w:pPr>
        <w:rPr>
          <w:rFonts w:eastAsia="Times New Roman"/>
          <w:color w:val="000000" w:themeColor="text1"/>
        </w:rPr>
      </w:pPr>
      <w:r w:rsidRPr="00772247">
        <w:rPr>
          <w:rFonts w:eastAsia="Times New Roman"/>
          <w:color w:val="000000" w:themeColor="text1"/>
        </w:rPr>
        <w:t xml:space="preserve">Overall, the links between attitudes and energy demand are often found not to be strong. Yet, recent studies of the California energy crisis are shedding new light on the role of attitudes as we shall see below. Insofar as the impact of demographic variables on energy consumption can be detached from income influence, empirics suggest that energy consumption varies over the life cycle, between ethnic groups (Poyer et al., 1997) and cultural practices. </w:t>
      </w:r>
    </w:p>
    <w:p w14:paraId="268919F9" w14:textId="77777777" w:rsidR="00695CDE" w:rsidRPr="00772247" w:rsidRDefault="00695CDE" w:rsidP="00772247">
      <w:pPr>
        <w:rPr>
          <w:rFonts w:eastAsia="Times New Roman"/>
          <w:color w:val="000000" w:themeColor="text1"/>
        </w:rPr>
      </w:pPr>
    </w:p>
    <w:p w14:paraId="74B63973" w14:textId="77777777" w:rsidR="00695CDE" w:rsidRPr="00772247" w:rsidRDefault="00695CDE" w:rsidP="00772247">
      <w:pPr>
        <w:rPr>
          <w:rFonts w:eastAsia="Times New Roman"/>
          <w:color w:val="000000" w:themeColor="text1"/>
        </w:rPr>
      </w:pPr>
      <w:r w:rsidRPr="00772247">
        <w:rPr>
          <w:rFonts w:eastAsia="Times New Roman"/>
          <w:color w:val="000000" w:themeColor="text1"/>
        </w:rPr>
        <w:t xml:space="preserve">Some studies suggest that attitudinal variables are important for deliberate </w:t>
      </w:r>
      <w:r w:rsidR="00AB0B1B" w:rsidRPr="00772247">
        <w:rPr>
          <w:rFonts w:eastAsia="Times New Roman"/>
          <w:color w:val="000000" w:themeColor="text1"/>
        </w:rPr>
        <w:t>behavior</w:t>
      </w:r>
      <w:r w:rsidRPr="00772247">
        <w:rPr>
          <w:rFonts w:eastAsia="Times New Roman"/>
          <w:color w:val="000000" w:themeColor="text1"/>
        </w:rPr>
        <w:t xml:space="preserve"> (intentoriented), while socio-economic variables are more important for understanding impact-oriented use of, say, energy. For example, there are studies showing that household energy use is mostly explained by socio-economic, rather than attitudinal, variables. But it is not difficult at all to find exceptions. For example, Carlsson-Kanyama et al. (2003) found, in their analysis of 600 Swedish households, that environmental attitudes and attitudes to energy are important for the use of appliances in households. </w:t>
      </w:r>
    </w:p>
    <w:p w14:paraId="0DC6E25F" w14:textId="77777777" w:rsidR="00695CDE" w:rsidRPr="00772247" w:rsidRDefault="00695CDE" w:rsidP="00772247">
      <w:pPr>
        <w:rPr>
          <w:rFonts w:eastAsia="Times New Roman"/>
          <w:color w:val="000000" w:themeColor="text1"/>
        </w:rPr>
      </w:pPr>
    </w:p>
    <w:p w14:paraId="21E71813" w14:textId="77777777" w:rsidR="00695CDE" w:rsidRPr="00772247" w:rsidRDefault="00695CDE" w:rsidP="00772247">
      <w:pPr>
        <w:rPr>
          <w:rFonts w:eastAsia="Times New Roman"/>
          <w:color w:val="000000" w:themeColor="text1"/>
        </w:rPr>
      </w:pPr>
      <w:r w:rsidRPr="00772247">
        <w:rPr>
          <w:rFonts w:eastAsia="Times New Roman"/>
          <w:color w:val="000000" w:themeColor="text1"/>
        </w:rPr>
        <w:t xml:space="preserve">Sjöberg and Engelberg (2005) argue, from a psychological research angle, that “Research on energy consumption and conservation shows that attitudes are rarely much affected by campaigns, that attitudes have moderate predictive value, and that behavior is frequently not in line with expressed attitudes.” Furthermore, they also claim that the largest share of the variance of energy consumption can be explained by differences in social habits. In a similar vein, Viklund (2002) concludes his review of the literature with “[there is] no room for psychological factors to explain energy savings behavior”. </w:t>
      </w:r>
    </w:p>
    <w:p w14:paraId="39936845" w14:textId="77777777" w:rsidR="00695CDE" w:rsidRPr="00772247" w:rsidRDefault="00695CDE" w:rsidP="00772247">
      <w:pPr>
        <w:rPr>
          <w:rFonts w:eastAsia="Times New Roman"/>
          <w:color w:val="000000" w:themeColor="text1"/>
        </w:rPr>
      </w:pPr>
    </w:p>
    <w:p w14:paraId="6713F0F6" w14:textId="77777777" w:rsidR="00695CDE" w:rsidRPr="00772247" w:rsidRDefault="00695CDE" w:rsidP="00772247">
      <w:pPr>
        <w:rPr>
          <w:rFonts w:eastAsia="Times New Roman"/>
          <w:color w:val="000000" w:themeColor="text1"/>
        </w:rPr>
      </w:pPr>
      <w:r w:rsidRPr="00772247">
        <w:rPr>
          <w:rFonts w:eastAsia="Times New Roman"/>
          <w:color w:val="000000" w:themeColor="text1"/>
        </w:rPr>
        <w:t xml:space="preserve">Finally, Aune et al. (2002) </w:t>
      </w:r>
      <w:r w:rsidR="00AB0B1B" w:rsidRPr="00772247">
        <w:rPr>
          <w:rFonts w:eastAsia="Times New Roman"/>
          <w:color w:val="000000" w:themeColor="text1"/>
        </w:rPr>
        <w:t>summarize</w:t>
      </w:r>
      <w:r w:rsidRPr="00772247">
        <w:rPr>
          <w:rFonts w:eastAsia="Times New Roman"/>
          <w:color w:val="000000" w:themeColor="text1"/>
        </w:rPr>
        <w:t xml:space="preserve"> earlier research (from a socio-technic point of view) on household energy demand by claiming that “Among the results that still hold interest from this period [1973 to 1990], is that information campaigns are less effective than expected, that the link between attitudes and behavior concerning energy is weak...” </w:t>
      </w:r>
    </w:p>
    <w:p w14:paraId="030FFBAA" w14:textId="77777777" w:rsidR="007A0B32" w:rsidRPr="00772247" w:rsidRDefault="007A0B32" w:rsidP="00772247">
      <w:pPr>
        <w:rPr>
          <w:rFonts w:eastAsia="Times New Roman"/>
          <w:color w:val="000000" w:themeColor="text1"/>
        </w:rPr>
      </w:pPr>
    </w:p>
    <w:p w14:paraId="17366A9F" w14:textId="77777777" w:rsidR="00695CDE" w:rsidRPr="00772247" w:rsidRDefault="00695CDE" w:rsidP="00772247">
      <w:pPr>
        <w:rPr>
          <w:rFonts w:eastAsia="Times New Roman"/>
          <w:color w:val="000000" w:themeColor="text1"/>
        </w:rPr>
      </w:pPr>
    </w:p>
    <w:p w14:paraId="1DA522A5" w14:textId="77777777" w:rsidR="00794217" w:rsidRPr="00772247" w:rsidRDefault="00A13734" w:rsidP="00772247">
      <w:pPr>
        <w:rPr>
          <w:rFonts w:eastAsia="Times New Roman"/>
          <w:b/>
        </w:rPr>
      </w:pPr>
      <w:r w:rsidRPr="00772247">
        <w:rPr>
          <w:rFonts w:eastAsia="Times New Roman"/>
          <w:b/>
        </w:rPr>
        <w:t xml:space="preserve">2. </w:t>
      </w:r>
      <w:r w:rsidR="00794217" w:rsidRPr="00772247">
        <w:rPr>
          <w:rFonts w:eastAsia="Times New Roman"/>
          <w:b/>
        </w:rPr>
        <w:t>UNDERSTANDING CONSUMER BEHAVIOUR</w:t>
      </w:r>
    </w:p>
    <w:p w14:paraId="632EC5FE" w14:textId="77777777" w:rsidR="00794217" w:rsidRPr="00772247" w:rsidRDefault="00794217" w:rsidP="00772247">
      <w:pPr>
        <w:rPr>
          <w:rFonts w:eastAsia="Times New Roman"/>
        </w:rPr>
      </w:pPr>
    </w:p>
    <w:p w14:paraId="146E8801" w14:textId="77777777" w:rsidR="00794217" w:rsidRPr="00772247" w:rsidRDefault="00794217" w:rsidP="00772247">
      <w:pPr>
        <w:rPr>
          <w:rFonts w:eastAsia="Times New Roman"/>
        </w:rPr>
      </w:pPr>
      <w:r w:rsidRPr="00772247">
        <w:rPr>
          <w:rFonts w:eastAsia="Times New Roman"/>
        </w:rPr>
        <w:t>Promoting sustainable consumption requires improved understanding of consumer behavior and attitudes. Consumers have different needs with respect to information and their potential to be influenced by instruments and tools varies. Most consumers have a positive but passive view of sustainable consumption. Policy tools and instruments may need to be targeted to different types of households, individuals or groups. Many variables should be taken into account, including income, age, biases, attitudes and gender. To this end, the OECD Environment Policy Committee (EPOC) is conducting a multi-country survey on household behavior and five environmental policy areas: waste generation and recycling, energy use, personal transport choices, food consumption, and water use (OECD, 2008)</w:t>
      </w:r>
      <w:r w:rsidR="007F06C5" w:rsidRPr="00772247">
        <w:rPr>
          <w:rStyle w:val="FootnoteReference"/>
          <w:rFonts w:eastAsia="Times New Roman"/>
        </w:rPr>
        <w:footnoteReference w:id="3"/>
      </w:r>
      <w:r w:rsidRPr="00772247">
        <w:rPr>
          <w:rFonts w:eastAsia="Times New Roman"/>
        </w:rPr>
        <w:t xml:space="preserve">. </w:t>
      </w:r>
    </w:p>
    <w:p w14:paraId="6F6442F6" w14:textId="77777777" w:rsidR="00695CDE" w:rsidRPr="00772247" w:rsidRDefault="00695CDE" w:rsidP="00772247">
      <w:pPr>
        <w:rPr>
          <w:rFonts w:eastAsia="Times New Roman"/>
          <w:color w:val="000000" w:themeColor="text1"/>
        </w:rPr>
      </w:pPr>
    </w:p>
    <w:p w14:paraId="7260A441" w14:textId="77777777" w:rsidR="00726D18" w:rsidRPr="00772247" w:rsidRDefault="00726D18" w:rsidP="00772247">
      <w:pPr>
        <w:rPr>
          <w:rFonts w:eastAsia="Times New Roman"/>
          <w:color w:val="000000" w:themeColor="text1"/>
        </w:rPr>
      </w:pPr>
    </w:p>
    <w:p w14:paraId="07C17886" w14:textId="77777777" w:rsidR="00695CDE" w:rsidRPr="00772247" w:rsidRDefault="00695CDE" w:rsidP="00772247">
      <w:pPr>
        <w:pStyle w:val="ListParagraph"/>
        <w:numPr>
          <w:ilvl w:val="0"/>
          <w:numId w:val="1"/>
        </w:numPr>
        <w:rPr>
          <w:rFonts w:ascii="Times New Roman" w:eastAsia="Times New Roman" w:hAnsi="Times New Roman" w:cs="Times New Roman"/>
          <w:b/>
          <w:color w:val="000000" w:themeColor="text1"/>
        </w:rPr>
      </w:pPr>
      <w:r w:rsidRPr="00772247">
        <w:rPr>
          <w:rFonts w:ascii="Times New Roman" w:eastAsia="Times New Roman" w:hAnsi="Times New Roman" w:cs="Times New Roman"/>
          <w:b/>
          <w:color w:val="000000" w:themeColor="text1"/>
        </w:rPr>
        <w:t xml:space="preserve">Price and income </w:t>
      </w:r>
      <w:r w:rsidRPr="00772247">
        <w:rPr>
          <w:rStyle w:val="FootnoteReference"/>
          <w:rFonts w:ascii="Times New Roman" w:eastAsia="Times New Roman" w:hAnsi="Times New Roman" w:cs="Times New Roman"/>
          <w:b/>
          <w:color w:val="000000" w:themeColor="text1"/>
        </w:rPr>
        <w:footnoteReference w:id="4"/>
      </w:r>
    </w:p>
    <w:p w14:paraId="243972BD" w14:textId="77777777" w:rsidR="00695CDE" w:rsidRPr="00772247" w:rsidRDefault="00695CDE" w:rsidP="00772247">
      <w:pPr>
        <w:rPr>
          <w:rFonts w:eastAsia="Times New Roman"/>
          <w:color w:val="000000" w:themeColor="text1"/>
        </w:rPr>
      </w:pPr>
    </w:p>
    <w:p w14:paraId="4AF39021" w14:textId="77777777" w:rsidR="00695CDE" w:rsidRPr="00772247" w:rsidRDefault="00695CDE" w:rsidP="00772247">
      <w:pPr>
        <w:rPr>
          <w:rFonts w:eastAsia="Times New Roman"/>
          <w:color w:val="000000" w:themeColor="text1"/>
        </w:rPr>
      </w:pPr>
      <w:r w:rsidRPr="00772247">
        <w:rPr>
          <w:rFonts w:eastAsia="Times New Roman"/>
          <w:color w:val="000000" w:themeColor="text1"/>
        </w:rPr>
        <w:t xml:space="preserve">If the marketing mix and price of products are within the expected norms of the relevant market, then attributes like sustainability will become attractive to the consumer. For sustainable products such as organic food, dolphin-friendly tuna and Fairtrade coffee which often have a price premium, the price differential has to be within the norm. </w:t>
      </w:r>
    </w:p>
    <w:p w14:paraId="7CED2929" w14:textId="77777777" w:rsidR="00695CDE" w:rsidRPr="00772247" w:rsidRDefault="00695CDE" w:rsidP="00772247">
      <w:pPr>
        <w:rPr>
          <w:rFonts w:eastAsia="Times New Roman"/>
          <w:color w:val="000000" w:themeColor="text1"/>
        </w:rPr>
      </w:pPr>
    </w:p>
    <w:p w14:paraId="31510EAB" w14:textId="77777777" w:rsidR="00695CDE" w:rsidRPr="00772247" w:rsidRDefault="00695CDE" w:rsidP="00772247">
      <w:pPr>
        <w:rPr>
          <w:rFonts w:eastAsia="Times New Roman"/>
          <w:color w:val="000000" w:themeColor="text1"/>
        </w:rPr>
      </w:pPr>
      <w:r w:rsidRPr="00772247">
        <w:rPr>
          <w:rFonts w:eastAsia="Times New Roman"/>
          <w:color w:val="000000" w:themeColor="text1"/>
        </w:rPr>
        <w:t xml:space="preserve">Performance and quality are equally important. For example, there has not been a large  market for energy-efficient lighting, because consumers perceive these as poorer in design and performance than cheaper tungsten bulbs. </w:t>
      </w:r>
    </w:p>
    <w:p w14:paraId="2F582AD6" w14:textId="77777777" w:rsidR="00695CDE" w:rsidRPr="00772247" w:rsidRDefault="00695CDE" w:rsidP="00772247">
      <w:pPr>
        <w:rPr>
          <w:rFonts w:eastAsia="Times New Roman"/>
          <w:color w:val="000000" w:themeColor="text1"/>
        </w:rPr>
      </w:pPr>
    </w:p>
    <w:p w14:paraId="64701275" w14:textId="1123C9F8" w:rsidR="00695CDE" w:rsidRPr="00772247" w:rsidRDefault="00695CDE" w:rsidP="00772247">
      <w:pPr>
        <w:rPr>
          <w:rFonts w:eastAsia="Times New Roman"/>
          <w:color w:val="000000" w:themeColor="text1"/>
        </w:rPr>
      </w:pPr>
      <w:r w:rsidRPr="00772247">
        <w:rPr>
          <w:rFonts w:eastAsia="Times New Roman"/>
          <w:color w:val="000000" w:themeColor="text1"/>
        </w:rPr>
        <w:t xml:space="preserve">Consumer surveys have tried to isolate the factors influencing purchasing </w:t>
      </w:r>
      <w:r w:rsidR="00D40BD3" w:rsidRPr="00772247">
        <w:rPr>
          <w:rFonts w:eastAsia="Times New Roman"/>
          <w:color w:val="000000" w:themeColor="text1"/>
        </w:rPr>
        <w:t>behavior</w:t>
      </w:r>
      <w:r w:rsidRPr="00772247">
        <w:rPr>
          <w:rFonts w:eastAsia="Times New Roman"/>
          <w:color w:val="000000" w:themeColor="text1"/>
        </w:rPr>
        <w:t xml:space="preserve">, such as price, quality, and sustainability. These find that, for example, in the United Kingdom, only 5% of the public places ethical or social considerations above all others in purchasing decisions; most food shoppers base their decisions on price, taste and sell-by-date. German consumers rank quality first, then price, followed by look and design, brand, and environmental-friendliness. In the United States, consumers preferred wood with the certification label of the Forest Stewardship Council (FSC) as long as it was the same price as unlabelled plywood (OECD, 2007a). </w:t>
      </w:r>
    </w:p>
    <w:p w14:paraId="3A80ED9E" w14:textId="77777777" w:rsidR="00695CDE" w:rsidRPr="00772247" w:rsidRDefault="00695CDE" w:rsidP="00772247">
      <w:pPr>
        <w:rPr>
          <w:rFonts w:eastAsia="Times New Roman"/>
          <w:color w:val="000000" w:themeColor="text1"/>
        </w:rPr>
      </w:pPr>
    </w:p>
    <w:p w14:paraId="7F289B70" w14:textId="77777777" w:rsidR="00695CDE" w:rsidRPr="00772247" w:rsidRDefault="00695CDE" w:rsidP="00772247">
      <w:pPr>
        <w:rPr>
          <w:rFonts w:eastAsia="Times New Roman"/>
          <w:color w:val="000000" w:themeColor="text1"/>
        </w:rPr>
      </w:pPr>
      <w:r w:rsidRPr="00772247">
        <w:rPr>
          <w:rFonts w:eastAsia="Times New Roman"/>
          <w:color w:val="000000" w:themeColor="text1"/>
        </w:rPr>
        <w:t xml:space="preserve">One of the most important factors influencing sustainable consumption is income, with wealthier households far more likely to purchase sustainable products. </w:t>
      </w:r>
    </w:p>
    <w:p w14:paraId="53E01E1C" w14:textId="77777777" w:rsidR="00695CDE" w:rsidRPr="00772247" w:rsidRDefault="00695CDE" w:rsidP="00772247">
      <w:pPr>
        <w:widowControl w:val="0"/>
        <w:autoSpaceDE w:val="0"/>
        <w:autoSpaceDN w:val="0"/>
        <w:adjustRightInd w:val="0"/>
        <w:spacing w:after="240"/>
        <w:rPr>
          <w:color w:val="000000" w:themeColor="text1"/>
        </w:rPr>
      </w:pPr>
    </w:p>
    <w:p w14:paraId="57EFECEA" w14:textId="77777777" w:rsidR="00695CDE" w:rsidRPr="00772247" w:rsidRDefault="00695CDE" w:rsidP="00772247">
      <w:pPr>
        <w:pStyle w:val="ListParagraph"/>
        <w:numPr>
          <w:ilvl w:val="0"/>
          <w:numId w:val="1"/>
        </w:numPr>
        <w:rPr>
          <w:rFonts w:ascii="Times New Roman" w:eastAsia="Times New Roman" w:hAnsi="Times New Roman" w:cs="Times New Roman"/>
          <w:b/>
          <w:color w:val="000000" w:themeColor="text1"/>
        </w:rPr>
      </w:pPr>
      <w:r w:rsidRPr="00772247">
        <w:rPr>
          <w:rFonts w:ascii="Times New Roman" w:eastAsia="Times New Roman" w:hAnsi="Times New Roman" w:cs="Times New Roman"/>
          <w:b/>
          <w:color w:val="000000" w:themeColor="text1"/>
        </w:rPr>
        <w:t xml:space="preserve">Personal biases </w:t>
      </w:r>
    </w:p>
    <w:p w14:paraId="2A60B78F" w14:textId="77777777" w:rsidR="00695CDE" w:rsidRPr="00772247" w:rsidRDefault="00695CDE" w:rsidP="00772247">
      <w:pPr>
        <w:ind w:left="360"/>
        <w:rPr>
          <w:rFonts w:eastAsia="Times New Roman"/>
          <w:color w:val="000000" w:themeColor="text1"/>
        </w:rPr>
      </w:pPr>
    </w:p>
    <w:p w14:paraId="5B6EA7AA" w14:textId="77777777" w:rsidR="00695CDE" w:rsidRPr="00772247" w:rsidRDefault="00695CDE" w:rsidP="00772247">
      <w:pPr>
        <w:rPr>
          <w:rFonts w:eastAsia="Times New Roman"/>
          <w:color w:val="000000" w:themeColor="text1"/>
        </w:rPr>
      </w:pPr>
      <w:r w:rsidRPr="00772247">
        <w:rPr>
          <w:rFonts w:eastAsia="Times New Roman"/>
          <w:color w:val="000000" w:themeColor="text1"/>
        </w:rPr>
        <w:t xml:space="preserve">For example, some consumers may have biases against items manufactured from recycled materials because of concerns about reliability and performance. The word “waste” has a negative connotation and may lead consumers to associate terms such as wastepaper or waste oils with risky or inferior products. There may be fears that recycled paper will jam printers and photocopiers, or that re-refined oils will damage their vehicle engines, even when equivalent in quality and lower in price. </w:t>
      </w:r>
    </w:p>
    <w:p w14:paraId="3F22FFDF" w14:textId="77777777" w:rsidR="00695CDE" w:rsidRPr="00772247" w:rsidRDefault="00695CDE" w:rsidP="00772247">
      <w:pPr>
        <w:ind w:left="360"/>
        <w:rPr>
          <w:rFonts w:eastAsia="Times New Roman"/>
          <w:color w:val="000000" w:themeColor="text1"/>
        </w:rPr>
      </w:pPr>
    </w:p>
    <w:p w14:paraId="3CBEE30E" w14:textId="77777777" w:rsidR="00695CDE" w:rsidRPr="00772247" w:rsidRDefault="00695CDE" w:rsidP="00772247">
      <w:pPr>
        <w:ind w:left="360"/>
        <w:rPr>
          <w:rFonts w:eastAsia="Times New Roman"/>
          <w:color w:val="000000" w:themeColor="text1"/>
        </w:rPr>
      </w:pPr>
    </w:p>
    <w:p w14:paraId="02197026" w14:textId="77777777" w:rsidR="00695CDE" w:rsidRPr="00772247" w:rsidRDefault="00695CDE" w:rsidP="00772247">
      <w:pPr>
        <w:rPr>
          <w:rFonts w:eastAsia="Times New Roman"/>
          <w:color w:val="000000" w:themeColor="text1"/>
        </w:rPr>
      </w:pPr>
      <w:r w:rsidRPr="00772247">
        <w:rPr>
          <w:rFonts w:eastAsia="Times New Roman"/>
          <w:color w:val="000000" w:themeColor="text1"/>
        </w:rPr>
        <w:t xml:space="preserve">Consumption is also a way of expressing status and identity, causing consumers to be very conscious of how their purchases look to others. Consumers may be “locked in” to unsustainable patterns of consumption by social norms or peer pressures which dictate more and higher-priced goods. However, many consumers in OECD countries are becoming environmentally and socially conscious and want to demonstrate this to their peers. </w:t>
      </w:r>
    </w:p>
    <w:p w14:paraId="24F0100A" w14:textId="77777777" w:rsidR="00695CDE" w:rsidRPr="00772247" w:rsidRDefault="00695CDE" w:rsidP="00772247">
      <w:pPr>
        <w:rPr>
          <w:rFonts w:eastAsia="Times New Roman"/>
          <w:color w:val="000000" w:themeColor="text1"/>
        </w:rPr>
      </w:pPr>
    </w:p>
    <w:p w14:paraId="28A405E3" w14:textId="77777777" w:rsidR="00695CDE" w:rsidRPr="00772247" w:rsidRDefault="00695CDE" w:rsidP="00772247">
      <w:pPr>
        <w:pStyle w:val="ListParagraph"/>
        <w:numPr>
          <w:ilvl w:val="0"/>
          <w:numId w:val="1"/>
        </w:numPr>
        <w:rPr>
          <w:rFonts w:ascii="Times New Roman" w:eastAsia="Times New Roman" w:hAnsi="Times New Roman" w:cs="Times New Roman"/>
          <w:b/>
          <w:color w:val="000000" w:themeColor="text1"/>
        </w:rPr>
      </w:pPr>
      <w:r w:rsidRPr="00772247">
        <w:rPr>
          <w:rFonts w:ascii="Times New Roman" w:eastAsia="Times New Roman" w:hAnsi="Times New Roman" w:cs="Times New Roman"/>
          <w:b/>
          <w:color w:val="000000" w:themeColor="text1"/>
        </w:rPr>
        <w:t xml:space="preserve">Age </w:t>
      </w:r>
    </w:p>
    <w:p w14:paraId="37828D10" w14:textId="77777777" w:rsidR="00695CDE" w:rsidRPr="00772247" w:rsidRDefault="00695CDE" w:rsidP="00772247">
      <w:pPr>
        <w:ind w:left="360"/>
        <w:rPr>
          <w:rFonts w:eastAsia="Times New Roman"/>
          <w:color w:val="000000" w:themeColor="text1"/>
        </w:rPr>
      </w:pPr>
    </w:p>
    <w:p w14:paraId="266A701D" w14:textId="77777777" w:rsidR="00695CDE" w:rsidRPr="00772247" w:rsidRDefault="00695CDE" w:rsidP="00772247">
      <w:pPr>
        <w:rPr>
          <w:rFonts w:eastAsia="Times New Roman"/>
          <w:color w:val="000000" w:themeColor="text1"/>
        </w:rPr>
      </w:pPr>
      <w:r w:rsidRPr="00772247">
        <w:rPr>
          <w:rFonts w:eastAsia="Times New Roman"/>
          <w:color w:val="000000" w:themeColor="text1"/>
        </w:rPr>
        <w:t xml:space="preserve">Consumption patterns and interest in sustainable consumption differ by age groups. For example, young people between the ages of 18 and 25 tend to be very conscious of the need to reduce environmental pollution, improve human health and increase respect for human rights on a global scale. They believe their generation is consuming too much and want more information on how to reduce the negative ecological and social impacts of their consumption, on which they would likely act (UNEP/UNESCO, 2001) </w:t>
      </w:r>
    </w:p>
    <w:p w14:paraId="5C5BBF15" w14:textId="77777777" w:rsidR="00695CDE" w:rsidRPr="00772247" w:rsidRDefault="00695CDE" w:rsidP="00772247">
      <w:pPr>
        <w:ind w:left="360"/>
        <w:rPr>
          <w:rFonts w:eastAsia="Times New Roman"/>
          <w:color w:val="000000" w:themeColor="text1"/>
        </w:rPr>
      </w:pPr>
    </w:p>
    <w:p w14:paraId="46BE6B76" w14:textId="77777777" w:rsidR="00695CDE" w:rsidRPr="00772247" w:rsidRDefault="00695CDE" w:rsidP="00772247">
      <w:pPr>
        <w:pStyle w:val="ListParagraph"/>
        <w:numPr>
          <w:ilvl w:val="0"/>
          <w:numId w:val="1"/>
        </w:numPr>
        <w:rPr>
          <w:rFonts w:ascii="Times New Roman" w:eastAsia="Times New Roman" w:hAnsi="Times New Roman" w:cs="Times New Roman"/>
          <w:b/>
          <w:color w:val="000000" w:themeColor="text1"/>
        </w:rPr>
      </w:pPr>
      <w:r w:rsidRPr="00772247">
        <w:rPr>
          <w:rFonts w:ascii="Times New Roman" w:eastAsia="Times New Roman" w:hAnsi="Times New Roman" w:cs="Times New Roman"/>
          <w:b/>
          <w:color w:val="000000" w:themeColor="text1"/>
        </w:rPr>
        <w:t>Gender</w:t>
      </w:r>
    </w:p>
    <w:p w14:paraId="122D57C0" w14:textId="77777777" w:rsidR="00695CDE" w:rsidRPr="00772247" w:rsidRDefault="00695CDE" w:rsidP="00772247">
      <w:pPr>
        <w:ind w:left="360"/>
        <w:rPr>
          <w:rFonts w:eastAsia="Times New Roman"/>
          <w:color w:val="000000" w:themeColor="text1"/>
        </w:rPr>
      </w:pPr>
    </w:p>
    <w:p w14:paraId="708C17F8" w14:textId="5CEF7CAE" w:rsidR="00695CDE" w:rsidRPr="00772247" w:rsidRDefault="00695CDE" w:rsidP="00772247">
      <w:pPr>
        <w:rPr>
          <w:rFonts w:eastAsia="Times New Roman"/>
          <w:color w:val="000000" w:themeColor="text1"/>
        </w:rPr>
      </w:pPr>
      <w:r w:rsidRPr="00772247">
        <w:rPr>
          <w:rFonts w:eastAsia="Times New Roman"/>
          <w:color w:val="000000" w:themeColor="text1"/>
        </w:rPr>
        <w:t xml:space="preserve">Surveys show that women are more likely to be sustainable consumers, e.g. they tend to buy eco-labelled or organic food, have a higher propensity to recycle and place more value on efficient energy than men (OECD, 2008). They also pay closer attention in their purchases to ethical issues such as child </w:t>
      </w:r>
      <w:r w:rsidR="00D40BD3" w:rsidRPr="00772247">
        <w:rPr>
          <w:rFonts w:eastAsia="Times New Roman"/>
          <w:color w:val="000000" w:themeColor="text1"/>
        </w:rPr>
        <w:t>labor</w:t>
      </w:r>
      <w:r w:rsidRPr="00772247">
        <w:rPr>
          <w:rFonts w:eastAsia="Times New Roman"/>
          <w:color w:val="000000" w:themeColor="text1"/>
        </w:rPr>
        <w:t xml:space="preserve"> and fair trade. </w:t>
      </w:r>
    </w:p>
    <w:p w14:paraId="49808047" w14:textId="77777777" w:rsidR="00695CDE" w:rsidRPr="00772247" w:rsidRDefault="00695CDE" w:rsidP="00772247">
      <w:pPr>
        <w:rPr>
          <w:rFonts w:eastAsia="Times New Roman"/>
          <w:color w:val="000000" w:themeColor="text1"/>
        </w:rPr>
      </w:pPr>
    </w:p>
    <w:p w14:paraId="61C5EEF2" w14:textId="7E75D048" w:rsidR="00695CDE" w:rsidRPr="00772247" w:rsidRDefault="00695CDE" w:rsidP="00772247">
      <w:pPr>
        <w:rPr>
          <w:rFonts w:eastAsia="Times New Roman"/>
          <w:color w:val="000000" w:themeColor="text1"/>
        </w:rPr>
      </w:pPr>
      <w:r w:rsidRPr="00772247">
        <w:rPr>
          <w:rFonts w:eastAsia="Times New Roman"/>
          <w:color w:val="000000" w:themeColor="text1"/>
        </w:rPr>
        <w:t xml:space="preserve">A UK study found that women are more concerned about climate change than men and advocate changes in life-styles and consumption </w:t>
      </w:r>
      <w:r w:rsidR="00D40BD3" w:rsidRPr="00772247">
        <w:rPr>
          <w:rFonts w:eastAsia="Times New Roman"/>
          <w:color w:val="000000" w:themeColor="text1"/>
        </w:rPr>
        <w:t>behavior</w:t>
      </w:r>
      <w:r w:rsidRPr="00772247">
        <w:rPr>
          <w:rFonts w:eastAsia="Times New Roman"/>
          <w:color w:val="000000" w:themeColor="text1"/>
        </w:rPr>
        <w:t xml:space="preserve">, whereas men </w:t>
      </w:r>
      <w:r w:rsidR="00D40BD3" w:rsidRPr="00772247">
        <w:rPr>
          <w:rFonts w:eastAsia="Times New Roman"/>
          <w:color w:val="000000" w:themeColor="text1"/>
        </w:rPr>
        <w:t>favored</w:t>
      </w:r>
      <w:r w:rsidRPr="00772247">
        <w:rPr>
          <w:rFonts w:eastAsia="Times New Roman"/>
          <w:color w:val="000000" w:themeColor="text1"/>
        </w:rPr>
        <w:t xml:space="preserve"> more technological solutions for mitigating greenhouse gas emissions (WEN, 2007).</w:t>
      </w:r>
    </w:p>
    <w:p w14:paraId="016C9AE0" w14:textId="77777777" w:rsidR="00695CDE" w:rsidRPr="00772247" w:rsidRDefault="00695CDE" w:rsidP="00772247">
      <w:pPr>
        <w:widowControl w:val="0"/>
        <w:autoSpaceDE w:val="0"/>
        <w:autoSpaceDN w:val="0"/>
        <w:adjustRightInd w:val="0"/>
        <w:spacing w:after="240"/>
        <w:rPr>
          <w:color w:val="000000" w:themeColor="text1"/>
        </w:rPr>
      </w:pPr>
    </w:p>
    <w:p w14:paraId="3E7E3880" w14:textId="31991431" w:rsidR="00695CDE" w:rsidRPr="00772247" w:rsidRDefault="007540B5" w:rsidP="00772247">
      <w:pPr>
        <w:widowControl w:val="0"/>
        <w:autoSpaceDE w:val="0"/>
        <w:autoSpaceDN w:val="0"/>
        <w:adjustRightInd w:val="0"/>
        <w:spacing w:after="240"/>
        <w:rPr>
          <w:color w:val="000000" w:themeColor="text1"/>
        </w:rPr>
      </w:pPr>
      <w:r w:rsidRPr="00772247">
        <w:rPr>
          <w:b/>
          <w:color w:val="000000" w:themeColor="text1"/>
        </w:rPr>
        <w:t>3</w:t>
      </w:r>
      <w:r w:rsidR="00695CDE" w:rsidRPr="00772247">
        <w:rPr>
          <w:b/>
          <w:color w:val="000000" w:themeColor="text1"/>
        </w:rPr>
        <w:t xml:space="preserve">. </w:t>
      </w:r>
      <w:r w:rsidR="00DF3BCD" w:rsidRPr="00772247">
        <w:rPr>
          <w:b/>
          <w:color w:val="000000" w:themeColor="text1"/>
        </w:rPr>
        <w:t xml:space="preserve">FOUR METHODS FOR: ATTRACTING ATTENTION </w:t>
      </w:r>
      <w:r w:rsidR="00695CDE" w:rsidRPr="00772247">
        <w:rPr>
          <w:rStyle w:val="FootnoteReference"/>
          <w:b/>
          <w:color w:val="000000" w:themeColor="text1"/>
        </w:rPr>
        <w:footnoteReference w:id="5"/>
      </w:r>
    </w:p>
    <w:p w14:paraId="0B4A5807" w14:textId="77777777" w:rsidR="00695CDE" w:rsidRPr="00772247" w:rsidRDefault="00695CDE" w:rsidP="00772247">
      <w:pPr>
        <w:widowControl w:val="0"/>
        <w:autoSpaceDE w:val="0"/>
        <w:autoSpaceDN w:val="0"/>
        <w:adjustRightInd w:val="0"/>
        <w:spacing w:after="240"/>
        <w:rPr>
          <w:color w:val="000000" w:themeColor="text1"/>
        </w:rPr>
      </w:pPr>
      <w:r w:rsidRPr="00772247">
        <w:rPr>
          <w:color w:val="000000" w:themeColor="text1"/>
        </w:rPr>
        <w:t>Have you considered that the average person might not find the number of watts saved by a CFL quite as intriguing as you do? A great deal of environmental messaging doesn’t work because it is boring or inaccessible. You need to engage your audience by creating ideas that are attention grabbing and memorable: ideas that are sticky</w:t>
      </w:r>
    </w:p>
    <w:p w14:paraId="3E1FB519" w14:textId="77777777" w:rsidR="00695CDE" w:rsidRPr="00772247" w:rsidRDefault="00695CDE" w:rsidP="00772247">
      <w:pPr>
        <w:widowControl w:val="0"/>
        <w:autoSpaceDE w:val="0"/>
        <w:autoSpaceDN w:val="0"/>
        <w:adjustRightInd w:val="0"/>
        <w:spacing w:after="240"/>
        <w:rPr>
          <w:b/>
          <w:color w:val="000000" w:themeColor="text1"/>
        </w:rPr>
      </w:pPr>
      <w:r w:rsidRPr="00772247">
        <w:rPr>
          <w:b/>
          <w:color w:val="000000" w:themeColor="text1"/>
        </w:rPr>
        <w:t xml:space="preserve">1) SURPRISE them </w:t>
      </w:r>
    </w:p>
    <w:p w14:paraId="61734E88" w14:textId="77777777" w:rsidR="00695CDE" w:rsidRPr="00772247" w:rsidRDefault="00695CDE" w:rsidP="00772247">
      <w:pPr>
        <w:widowControl w:val="0"/>
        <w:autoSpaceDE w:val="0"/>
        <w:autoSpaceDN w:val="0"/>
        <w:adjustRightInd w:val="0"/>
        <w:spacing w:after="240"/>
        <w:rPr>
          <w:color w:val="000000" w:themeColor="text1"/>
        </w:rPr>
      </w:pPr>
      <w:r w:rsidRPr="00772247">
        <w:rPr>
          <w:color w:val="000000" w:themeColor="text1"/>
        </w:rPr>
        <w:t xml:space="preserve">Have you considered that the average person might not find the number of watts saved by a CFL quite as intriguing as you do? A great deal of environmental messaging doesn’t work because it is boring or inaccessible. You need to engage your audience by creating ideas that are attention grabbing and memorable: ideas that are sticky </w:t>
      </w:r>
    </w:p>
    <w:p w14:paraId="1F989811" w14:textId="77777777" w:rsidR="00695CDE" w:rsidRPr="00772247" w:rsidRDefault="00695CDE" w:rsidP="00772247">
      <w:pPr>
        <w:pStyle w:val="ListParagraph"/>
        <w:numPr>
          <w:ilvl w:val="0"/>
          <w:numId w:val="1"/>
        </w:numPr>
        <w:rPr>
          <w:rFonts w:ascii="Times New Roman" w:eastAsia="Times New Roman" w:hAnsi="Times New Roman" w:cs="Times New Roman"/>
          <w:color w:val="000000" w:themeColor="text1"/>
        </w:rPr>
      </w:pPr>
      <w:r w:rsidRPr="00772247">
        <w:rPr>
          <w:rFonts w:ascii="Times New Roman" w:eastAsia="Times New Roman" w:hAnsi="Times New Roman" w:cs="Times New Roman"/>
          <w:color w:val="000000" w:themeColor="text1"/>
        </w:rPr>
        <w:t>Talking trash Litter bins which say thank you have been introduced in several European cities including Helsinki and Berlin.</w:t>
      </w:r>
      <w:r w:rsidRPr="00772247">
        <w:rPr>
          <w:rStyle w:val="FootnoteReference"/>
          <w:rFonts w:ascii="Times New Roman" w:eastAsia="Times New Roman" w:hAnsi="Times New Roman" w:cs="Times New Roman"/>
          <w:color w:val="000000" w:themeColor="text1"/>
        </w:rPr>
        <w:footnoteReference w:id="6"/>
      </w:r>
      <w:r w:rsidRPr="00772247">
        <w:rPr>
          <w:rFonts w:ascii="Times New Roman" w:eastAsia="Times New Roman" w:hAnsi="Times New Roman" w:cs="Times New Roman"/>
          <w:color w:val="000000" w:themeColor="text1"/>
        </w:rPr>
        <w:t xml:space="preserve"> The solar panelled trash cans are designed to keep the streets cleaner. They work by breaking schemas: people do not expect rubbish bins to talk, so get a surprise, and this makes them pay more attention to waste disposal. This could easily be applied to recycling bins. </w:t>
      </w:r>
    </w:p>
    <w:p w14:paraId="3C0E83CA" w14:textId="77777777" w:rsidR="00695CDE" w:rsidRPr="00772247" w:rsidRDefault="00695CDE" w:rsidP="00772247">
      <w:pPr>
        <w:widowControl w:val="0"/>
        <w:autoSpaceDE w:val="0"/>
        <w:autoSpaceDN w:val="0"/>
        <w:adjustRightInd w:val="0"/>
        <w:spacing w:after="240"/>
        <w:rPr>
          <w:color w:val="000000" w:themeColor="text1"/>
        </w:rPr>
      </w:pPr>
    </w:p>
    <w:p w14:paraId="13E2BE64" w14:textId="77777777" w:rsidR="00695CDE" w:rsidRPr="00772247" w:rsidRDefault="00695CDE" w:rsidP="00772247">
      <w:pPr>
        <w:widowControl w:val="0"/>
        <w:autoSpaceDE w:val="0"/>
        <w:autoSpaceDN w:val="0"/>
        <w:adjustRightInd w:val="0"/>
        <w:spacing w:after="240"/>
        <w:rPr>
          <w:color w:val="000000" w:themeColor="text1"/>
        </w:rPr>
      </w:pPr>
      <w:r w:rsidRPr="00772247">
        <w:rPr>
          <w:color w:val="000000" w:themeColor="text1"/>
        </w:rPr>
        <w:t xml:space="preserve">A second way we can use the unexpected is through mystery. By building up curiosity before revealing interesting information, we can not only get attention, but keep it. </w:t>
      </w:r>
    </w:p>
    <w:p w14:paraId="7CAECC47" w14:textId="77777777" w:rsidR="00695CDE" w:rsidRPr="00772247" w:rsidRDefault="00695CDE" w:rsidP="00772247">
      <w:pPr>
        <w:widowControl w:val="0"/>
        <w:autoSpaceDE w:val="0"/>
        <w:autoSpaceDN w:val="0"/>
        <w:adjustRightInd w:val="0"/>
        <w:spacing w:after="240"/>
        <w:rPr>
          <w:b/>
          <w:color w:val="000000" w:themeColor="text1"/>
        </w:rPr>
      </w:pPr>
      <w:r w:rsidRPr="00772247">
        <w:rPr>
          <w:b/>
          <w:color w:val="000000" w:themeColor="text1"/>
        </w:rPr>
        <w:t xml:space="preserve">2) Paint a PICTURE </w:t>
      </w:r>
    </w:p>
    <w:p w14:paraId="58DFCAB5" w14:textId="77777777" w:rsidR="00695CDE" w:rsidRPr="00772247" w:rsidRDefault="00695CDE" w:rsidP="00772247">
      <w:pPr>
        <w:widowControl w:val="0"/>
        <w:autoSpaceDE w:val="0"/>
        <w:autoSpaceDN w:val="0"/>
        <w:adjustRightInd w:val="0"/>
        <w:spacing w:after="240"/>
        <w:rPr>
          <w:color w:val="000000" w:themeColor="text1"/>
        </w:rPr>
      </w:pPr>
      <w:r w:rsidRPr="00772247">
        <w:rPr>
          <w:color w:val="000000" w:themeColor="text1"/>
        </w:rPr>
        <w:t xml:space="preserve">Images are easier to understand and more memorable, so focus on impacts that are easy to visualise. </w:t>
      </w:r>
    </w:p>
    <w:p w14:paraId="1C7078F8" w14:textId="77777777" w:rsidR="00695CDE" w:rsidRPr="00772247" w:rsidRDefault="00695CDE" w:rsidP="00772247">
      <w:pPr>
        <w:widowControl w:val="0"/>
        <w:autoSpaceDE w:val="0"/>
        <w:autoSpaceDN w:val="0"/>
        <w:adjustRightInd w:val="0"/>
        <w:spacing w:after="240"/>
        <w:rPr>
          <w:color w:val="000000" w:themeColor="text1"/>
        </w:rPr>
      </w:pPr>
      <w:r w:rsidRPr="00772247">
        <w:rPr>
          <w:color w:val="000000" w:themeColor="text1"/>
        </w:rPr>
        <w:t xml:space="preserve">Or actually use images. </w:t>
      </w:r>
    </w:p>
    <w:p w14:paraId="21DD7532" w14:textId="77777777" w:rsidR="00695CDE" w:rsidRPr="00772247" w:rsidRDefault="00695CDE" w:rsidP="00772247">
      <w:pPr>
        <w:widowControl w:val="0"/>
        <w:autoSpaceDE w:val="0"/>
        <w:autoSpaceDN w:val="0"/>
        <w:adjustRightInd w:val="0"/>
        <w:spacing w:after="240"/>
        <w:rPr>
          <w:color w:val="000000" w:themeColor="text1"/>
        </w:rPr>
      </w:pPr>
      <w:r w:rsidRPr="00772247">
        <w:rPr>
          <w:color w:val="000000" w:themeColor="text1"/>
        </w:rPr>
        <w:t xml:space="preserve">In California State University-Northridge, recycling bins were equipped either with signs saying ‘No Trash, Please, Only Recyclables’, or with an image of the President recycling. You can guess which was more effective. </w:t>
      </w:r>
    </w:p>
    <w:p w14:paraId="47E5D45B" w14:textId="77777777" w:rsidR="00695CDE" w:rsidRPr="00772247" w:rsidRDefault="00695CDE" w:rsidP="00772247">
      <w:pPr>
        <w:widowControl w:val="0"/>
        <w:autoSpaceDE w:val="0"/>
        <w:autoSpaceDN w:val="0"/>
        <w:adjustRightInd w:val="0"/>
        <w:spacing w:after="240"/>
        <w:rPr>
          <w:b/>
          <w:color w:val="000000" w:themeColor="text1"/>
        </w:rPr>
      </w:pPr>
      <w:r w:rsidRPr="00772247">
        <w:rPr>
          <w:b/>
          <w:color w:val="000000" w:themeColor="text1"/>
        </w:rPr>
        <w:t xml:space="preserve">3) Get EMOTIONAL </w:t>
      </w:r>
    </w:p>
    <w:p w14:paraId="5710950D" w14:textId="77777777" w:rsidR="00695CDE" w:rsidRPr="00772247" w:rsidRDefault="00695CDE" w:rsidP="00772247">
      <w:pPr>
        <w:widowControl w:val="0"/>
        <w:autoSpaceDE w:val="0"/>
        <w:autoSpaceDN w:val="0"/>
        <w:adjustRightInd w:val="0"/>
        <w:spacing w:after="240"/>
        <w:rPr>
          <w:color w:val="000000" w:themeColor="text1"/>
        </w:rPr>
      </w:pPr>
      <w:r w:rsidRPr="00772247">
        <w:rPr>
          <w:color w:val="000000" w:themeColor="text1"/>
        </w:rPr>
        <w:t>Psychologists suggest that we all have a rational side and an emotional side If we only target the rational side, there will be no motivation for change. Emotional cues are more likely to illicit action. Emotional triggers vary from person to person, but as a general rule focus on environmental impacts for people and animals, and use case studies: people have more empathy for the story of one suffering child than statistics about 10,000 suffering children. The personal testimony of an island-dweller affected by flooding will be much more effective than projections of 21</w:t>
      </w:r>
      <w:r w:rsidRPr="00772247">
        <w:rPr>
          <w:color w:val="000000" w:themeColor="text1"/>
          <w:position w:val="8"/>
        </w:rPr>
        <w:t xml:space="preserve">st </w:t>
      </w:r>
      <w:r w:rsidRPr="00772247">
        <w:rPr>
          <w:color w:val="000000" w:themeColor="text1"/>
        </w:rPr>
        <w:t xml:space="preserve">century sea level rise. </w:t>
      </w:r>
    </w:p>
    <w:p w14:paraId="32330670" w14:textId="77777777" w:rsidR="00695CDE" w:rsidRPr="00772247" w:rsidRDefault="00695CDE" w:rsidP="00772247">
      <w:pPr>
        <w:widowControl w:val="0"/>
        <w:autoSpaceDE w:val="0"/>
        <w:autoSpaceDN w:val="0"/>
        <w:adjustRightInd w:val="0"/>
        <w:spacing w:after="240"/>
        <w:rPr>
          <w:color w:val="000000" w:themeColor="text1"/>
        </w:rPr>
      </w:pPr>
      <w:r w:rsidRPr="00772247">
        <w:rPr>
          <w:color w:val="000000" w:themeColor="text1"/>
        </w:rPr>
        <w:t>WARNING: Don’t rely on FEAR...</w:t>
      </w:r>
      <w:r w:rsidRPr="00772247">
        <w:rPr>
          <w:rFonts w:ascii="MS Mincho" w:eastAsia="MS Mincho" w:hAnsi="MS Mincho" w:cs="MS Mincho"/>
          <w:color w:val="000000" w:themeColor="text1"/>
        </w:rPr>
        <w:t> </w:t>
      </w:r>
      <w:r w:rsidRPr="00772247">
        <w:rPr>
          <w:color w:val="000000" w:themeColor="text1"/>
        </w:rPr>
        <w:t>People have a finite pool of worry: they can only handle so much bad news at a time. More immediate concerns about unemployment are likely to replace long term fears of biodiversity loss, so your message will not be remembered on the basis of fear alone. What’s more, fear could actually cause inertia. Individuals respond to threats using problem-focused coping (taking action) or emotion-focused coping (denial/apathy)</w:t>
      </w:r>
      <w:r w:rsidRPr="00772247">
        <w:rPr>
          <w:color w:val="000000" w:themeColor="text1"/>
          <w:position w:val="8"/>
        </w:rPr>
        <w:t>20</w:t>
      </w:r>
      <w:r w:rsidRPr="00772247">
        <w:rPr>
          <w:color w:val="000000" w:themeColor="text1"/>
        </w:rPr>
        <w:t xml:space="preserve">. To avoid the latter, people need to feel that they have control. </w:t>
      </w:r>
    </w:p>
    <w:p w14:paraId="6A8AD40C" w14:textId="77777777" w:rsidR="00695CDE" w:rsidRPr="00772247" w:rsidRDefault="00695CDE" w:rsidP="00772247">
      <w:pPr>
        <w:widowControl w:val="0"/>
        <w:autoSpaceDE w:val="0"/>
        <w:autoSpaceDN w:val="0"/>
        <w:adjustRightInd w:val="0"/>
        <w:spacing w:after="240"/>
        <w:rPr>
          <w:color w:val="000000" w:themeColor="text1"/>
        </w:rPr>
      </w:pPr>
      <w:r w:rsidRPr="00772247">
        <w:rPr>
          <w:color w:val="000000" w:themeColor="text1"/>
        </w:rPr>
        <w:t xml:space="preserve">So: </w:t>
      </w:r>
    </w:p>
    <w:p w14:paraId="6AF5B6A2" w14:textId="77777777" w:rsidR="00695CDE" w:rsidRPr="00772247" w:rsidRDefault="00695CDE" w:rsidP="00772247">
      <w:pPr>
        <w:widowControl w:val="0"/>
        <w:autoSpaceDE w:val="0"/>
        <w:autoSpaceDN w:val="0"/>
        <w:adjustRightInd w:val="0"/>
        <w:spacing w:after="240"/>
        <w:rPr>
          <w:b/>
          <w:color w:val="000000" w:themeColor="text1"/>
        </w:rPr>
      </w:pPr>
      <w:r w:rsidRPr="00772247">
        <w:rPr>
          <w:b/>
          <w:color w:val="000000" w:themeColor="text1"/>
        </w:rPr>
        <w:t xml:space="preserve">4) Tell a STORY </w:t>
      </w:r>
    </w:p>
    <w:p w14:paraId="6F6C62BB" w14:textId="77777777" w:rsidR="00695CDE" w:rsidRPr="00772247" w:rsidRDefault="00695CDE" w:rsidP="00772247">
      <w:pPr>
        <w:widowControl w:val="0"/>
        <w:autoSpaceDE w:val="0"/>
        <w:autoSpaceDN w:val="0"/>
        <w:adjustRightInd w:val="0"/>
        <w:spacing w:after="240"/>
        <w:rPr>
          <w:color w:val="000000" w:themeColor="text1"/>
        </w:rPr>
      </w:pPr>
      <w:r w:rsidRPr="00772247">
        <w:rPr>
          <w:color w:val="000000" w:themeColor="text1"/>
        </w:rPr>
        <w:t xml:space="preserve">Simulation </w:t>
      </w:r>
    </w:p>
    <w:p w14:paraId="2C147FC5" w14:textId="77777777" w:rsidR="00695CDE" w:rsidRPr="00772247" w:rsidRDefault="00695CDE" w:rsidP="00772247">
      <w:pPr>
        <w:widowControl w:val="0"/>
        <w:autoSpaceDE w:val="0"/>
        <w:autoSpaceDN w:val="0"/>
        <w:adjustRightInd w:val="0"/>
        <w:spacing w:after="240"/>
        <w:rPr>
          <w:color w:val="000000" w:themeColor="text1"/>
        </w:rPr>
      </w:pPr>
      <w:r w:rsidRPr="00772247">
        <w:rPr>
          <w:color w:val="000000" w:themeColor="text1"/>
        </w:rPr>
        <w:t>Stories allow us to play along. This is more than visualisation: we cannot imagine events without evoking the same modules of our brains which are evoked for real events. If we imagine a flashing light, we activate the visual part of our brain. So stories help us to learn. They are the next best thing to practicing</w:t>
      </w:r>
      <w:r w:rsidRPr="00772247">
        <w:rPr>
          <w:color w:val="000000" w:themeColor="text1"/>
          <w:position w:val="8"/>
        </w:rPr>
        <w:t>21</w:t>
      </w:r>
      <w:r w:rsidRPr="00772247">
        <w:rPr>
          <w:color w:val="000000" w:themeColor="text1"/>
        </w:rPr>
        <w:t xml:space="preserve">. Tell people a story about cycling to work: the fresh air filling your lungs, the wind brushing your face. Tell them a story about the great bargains you found on a second-hand shopping trip. Tell them how it felt to take part in a climate change rally. </w:t>
      </w:r>
    </w:p>
    <w:p w14:paraId="025052EC" w14:textId="77777777" w:rsidR="00545C20" w:rsidRPr="00772247" w:rsidRDefault="00545C20" w:rsidP="00772247">
      <w:pPr>
        <w:rPr>
          <w:rFonts w:eastAsia="Times New Roman"/>
          <w:b/>
          <w:color w:val="000000" w:themeColor="text1"/>
        </w:rPr>
      </w:pPr>
    </w:p>
    <w:p w14:paraId="29766855" w14:textId="725A03CA" w:rsidR="00695CDE" w:rsidRPr="00772247" w:rsidRDefault="00545C20" w:rsidP="00772247">
      <w:pPr>
        <w:rPr>
          <w:rFonts w:eastAsia="Times New Roman"/>
          <w:b/>
          <w:color w:val="000000" w:themeColor="text1"/>
        </w:rPr>
      </w:pPr>
      <w:r w:rsidRPr="00772247">
        <w:rPr>
          <w:rFonts w:eastAsia="Times New Roman"/>
          <w:b/>
          <w:color w:val="000000" w:themeColor="text1"/>
        </w:rPr>
        <w:t>4.</w:t>
      </w:r>
      <w:r w:rsidRPr="00772247">
        <w:rPr>
          <w:rFonts w:eastAsia="Times New Roman"/>
          <w:color w:val="000000" w:themeColor="text1"/>
        </w:rPr>
        <w:t xml:space="preserve"> </w:t>
      </w:r>
      <w:r w:rsidRPr="00772247">
        <w:rPr>
          <w:rFonts w:eastAsia="Times New Roman"/>
          <w:b/>
          <w:color w:val="000000" w:themeColor="text1"/>
        </w:rPr>
        <w:t>NINE STRATEGIES FOR: CHANGING BEHAVIOR</w:t>
      </w:r>
    </w:p>
    <w:p w14:paraId="3E8D4E75" w14:textId="77777777" w:rsidR="00695CDE" w:rsidRPr="00772247" w:rsidRDefault="00695CDE" w:rsidP="00772247">
      <w:pPr>
        <w:rPr>
          <w:rFonts w:eastAsia="Times New Roman"/>
          <w:color w:val="000000" w:themeColor="text1"/>
        </w:rPr>
      </w:pPr>
    </w:p>
    <w:p w14:paraId="4E07C694" w14:textId="77777777" w:rsidR="00695CDE" w:rsidRPr="00772247" w:rsidRDefault="00695CDE" w:rsidP="00772247">
      <w:pPr>
        <w:rPr>
          <w:rFonts w:eastAsia="Times New Roman"/>
          <w:color w:val="000000" w:themeColor="text1"/>
        </w:rPr>
      </w:pPr>
      <w:r w:rsidRPr="00772247">
        <w:rPr>
          <w:rFonts w:eastAsia="Times New Roman"/>
          <w:color w:val="000000" w:themeColor="text1"/>
        </w:rPr>
        <w:t xml:space="preserve">1)Association </w:t>
      </w:r>
    </w:p>
    <w:p w14:paraId="1B5A0112" w14:textId="77777777" w:rsidR="00695CDE" w:rsidRPr="00772247" w:rsidRDefault="00695CDE" w:rsidP="00772247">
      <w:pPr>
        <w:rPr>
          <w:rFonts w:eastAsia="Times New Roman"/>
          <w:color w:val="000000" w:themeColor="text1"/>
        </w:rPr>
      </w:pPr>
      <w:r w:rsidRPr="00772247">
        <w:rPr>
          <w:rFonts w:eastAsia="Times New Roman"/>
          <w:color w:val="000000" w:themeColor="text1"/>
        </w:rPr>
        <w:t xml:space="preserve">2)Reciprocation </w:t>
      </w:r>
    </w:p>
    <w:p w14:paraId="66E7D931" w14:textId="77777777" w:rsidR="00695CDE" w:rsidRPr="00772247" w:rsidRDefault="00695CDE" w:rsidP="00772247">
      <w:pPr>
        <w:rPr>
          <w:rFonts w:eastAsia="Times New Roman"/>
          <w:color w:val="000000" w:themeColor="text1"/>
        </w:rPr>
      </w:pPr>
      <w:r w:rsidRPr="00772247">
        <w:rPr>
          <w:rFonts w:eastAsia="Times New Roman"/>
          <w:color w:val="000000" w:themeColor="text1"/>
        </w:rPr>
        <w:t xml:space="preserve">3)Scarcity </w:t>
      </w:r>
    </w:p>
    <w:p w14:paraId="67841BD8" w14:textId="77777777" w:rsidR="00695CDE" w:rsidRPr="00772247" w:rsidRDefault="00695CDE" w:rsidP="00772247">
      <w:pPr>
        <w:rPr>
          <w:rFonts w:eastAsia="Times New Roman"/>
          <w:color w:val="000000" w:themeColor="text1"/>
        </w:rPr>
      </w:pPr>
      <w:r w:rsidRPr="00772247">
        <w:rPr>
          <w:rFonts w:eastAsia="Times New Roman"/>
          <w:color w:val="000000" w:themeColor="text1"/>
        </w:rPr>
        <w:t>4)Situational Change</w:t>
      </w:r>
    </w:p>
    <w:p w14:paraId="522D0EA6" w14:textId="77777777" w:rsidR="00695CDE" w:rsidRPr="00772247" w:rsidRDefault="00695CDE" w:rsidP="00772247">
      <w:pPr>
        <w:rPr>
          <w:rFonts w:eastAsia="Times New Roman"/>
          <w:color w:val="000000" w:themeColor="text1"/>
        </w:rPr>
      </w:pPr>
      <w:r w:rsidRPr="00772247">
        <w:rPr>
          <w:rFonts w:eastAsia="Times New Roman"/>
          <w:color w:val="000000" w:themeColor="text1"/>
        </w:rPr>
        <w:t xml:space="preserve">5)Haggling </w:t>
      </w:r>
    </w:p>
    <w:p w14:paraId="2597E6B3" w14:textId="77777777" w:rsidR="00695CDE" w:rsidRPr="00772247" w:rsidRDefault="00695CDE" w:rsidP="00772247">
      <w:pPr>
        <w:rPr>
          <w:rFonts w:eastAsia="Times New Roman"/>
          <w:color w:val="000000" w:themeColor="text1"/>
        </w:rPr>
      </w:pPr>
      <w:r w:rsidRPr="00772247">
        <w:rPr>
          <w:rFonts w:eastAsia="Times New Roman"/>
          <w:color w:val="000000" w:themeColor="text1"/>
        </w:rPr>
        <w:t xml:space="preserve">6)Commitment </w:t>
      </w:r>
    </w:p>
    <w:p w14:paraId="4F7A262F" w14:textId="77777777" w:rsidR="00695CDE" w:rsidRPr="00772247" w:rsidRDefault="00695CDE" w:rsidP="00772247">
      <w:pPr>
        <w:rPr>
          <w:rFonts w:eastAsia="Times New Roman"/>
          <w:color w:val="000000" w:themeColor="text1"/>
        </w:rPr>
      </w:pPr>
      <w:r w:rsidRPr="00772247">
        <w:rPr>
          <w:rFonts w:eastAsia="Times New Roman"/>
          <w:color w:val="000000" w:themeColor="text1"/>
        </w:rPr>
        <w:t xml:space="preserve">7)Prompts </w:t>
      </w:r>
    </w:p>
    <w:p w14:paraId="1C17CC04" w14:textId="77777777" w:rsidR="00695CDE" w:rsidRPr="00772247" w:rsidRDefault="00695CDE" w:rsidP="00772247">
      <w:pPr>
        <w:rPr>
          <w:rFonts w:eastAsia="Times New Roman"/>
          <w:color w:val="000000" w:themeColor="text1"/>
        </w:rPr>
      </w:pPr>
      <w:r w:rsidRPr="00772247">
        <w:rPr>
          <w:rFonts w:eastAsia="Times New Roman"/>
          <w:color w:val="000000" w:themeColor="text1"/>
        </w:rPr>
        <w:t xml:space="preserve">8)Feedback </w:t>
      </w:r>
    </w:p>
    <w:p w14:paraId="57FA815B" w14:textId="77777777" w:rsidR="00695CDE" w:rsidRPr="00772247" w:rsidRDefault="00695CDE" w:rsidP="00772247">
      <w:pPr>
        <w:rPr>
          <w:rFonts w:eastAsia="Times New Roman"/>
          <w:color w:val="000000" w:themeColor="text1"/>
        </w:rPr>
      </w:pPr>
      <w:r w:rsidRPr="00772247">
        <w:rPr>
          <w:rFonts w:eastAsia="Times New Roman"/>
          <w:color w:val="000000" w:themeColor="text1"/>
        </w:rPr>
        <w:t xml:space="preserve">9)Modeling </w:t>
      </w:r>
    </w:p>
    <w:p w14:paraId="404159F9" w14:textId="77777777" w:rsidR="00695CDE" w:rsidRPr="00772247" w:rsidRDefault="00695CDE" w:rsidP="00772247">
      <w:pPr>
        <w:rPr>
          <w:rFonts w:eastAsia="Times New Roman"/>
          <w:color w:val="000000" w:themeColor="text1"/>
        </w:rPr>
      </w:pPr>
    </w:p>
    <w:p w14:paraId="26257E19" w14:textId="77777777" w:rsidR="00695CDE" w:rsidRPr="00772247" w:rsidRDefault="00695CDE" w:rsidP="00772247">
      <w:pPr>
        <w:rPr>
          <w:rFonts w:eastAsia="Times New Roman"/>
          <w:color w:val="000000" w:themeColor="text1"/>
        </w:rPr>
      </w:pPr>
      <w:r w:rsidRPr="00772247">
        <w:rPr>
          <w:rFonts w:eastAsia="Times New Roman"/>
          <w:color w:val="000000" w:themeColor="text1"/>
        </w:rPr>
        <w:t xml:space="preserve">Know the audience: </w:t>
      </w:r>
    </w:p>
    <w:p w14:paraId="07635A5B" w14:textId="77777777" w:rsidR="00695CDE" w:rsidRPr="00772247" w:rsidRDefault="00695CDE" w:rsidP="00772247">
      <w:pPr>
        <w:rPr>
          <w:rFonts w:eastAsia="Times New Roman"/>
          <w:color w:val="000000" w:themeColor="text1"/>
        </w:rPr>
      </w:pPr>
      <w:r w:rsidRPr="00772247">
        <w:rPr>
          <w:rFonts w:eastAsia="Times New Roman"/>
          <w:noProof/>
          <w:color w:val="000000" w:themeColor="text1"/>
        </w:rPr>
        <w:drawing>
          <wp:inline distT="0" distB="0" distL="0" distR="0" wp14:anchorId="71F14DEB" wp14:editId="514711B4">
            <wp:extent cx="5423535" cy="3272155"/>
            <wp:effectExtent l="0" t="0" r="1206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6-12-16 at 11.09.11 PM.png"/>
                    <pic:cNvPicPr/>
                  </pic:nvPicPr>
                  <pic:blipFill rotWithShape="1">
                    <a:blip r:embed="rId8">
                      <a:extLst>
                        <a:ext uri="{28A0092B-C50C-407E-A947-70E740481C1C}">
                          <a14:useLocalDpi xmlns:a14="http://schemas.microsoft.com/office/drawing/2010/main" val="0"/>
                        </a:ext>
                      </a:extLst>
                    </a:blip>
                    <a:srcRect l="34278" t="14904" r="25932" b="12707"/>
                    <a:stretch/>
                  </pic:blipFill>
                  <pic:spPr bwMode="auto">
                    <a:xfrm>
                      <a:off x="0" y="0"/>
                      <a:ext cx="5448492" cy="3287212"/>
                    </a:xfrm>
                    <a:prstGeom prst="rect">
                      <a:avLst/>
                    </a:prstGeom>
                    <a:ln>
                      <a:noFill/>
                    </a:ln>
                    <a:extLst>
                      <a:ext uri="{53640926-AAD7-44D8-BBD7-CCE9431645EC}">
                        <a14:shadowObscured xmlns:a14="http://schemas.microsoft.com/office/drawing/2010/main"/>
                      </a:ext>
                    </a:extLst>
                  </pic:spPr>
                </pic:pic>
              </a:graphicData>
            </a:graphic>
          </wp:inline>
        </w:drawing>
      </w:r>
    </w:p>
    <w:p w14:paraId="098DFD4C" w14:textId="77777777" w:rsidR="00695CDE" w:rsidRPr="00772247" w:rsidRDefault="00695CDE" w:rsidP="00772247">
      <w:pPr>
        <w:widowControl w:val="0"/>
        <w:autoSpaceDE w:val="0"/>
        <w:autoSpaceDN w:val="0"/>
        <w:adjustRightInd w:val="0"/>
        <w:spacing w:after="240"/>
        <w:rPr>
          <w:color w:val="000000" w:themeColor="text1"/>
        </w:rPr>
      </w:pPr>
    </w:p>
    <w:p w14:paraId="273B14D8" w14:textId="647945F7" w:rsidR="00695CDE" w:rsidRPr="00772247" w:rsidRDefault="001D08A9" w:rsidP="00772247">
      <w:pPr>
        <w:rPr>
          <w:rFonts w:eastAsia="Times New Roman"/>
          <w:b/>
          <w:color w:val="000000" w:themeColor="text1"/>
        </w:rPr>
      </w:pPr>
      <w:r w:rsidRPr="00772247">
        <w:rPr>
          <w:rFonts w:eastAsia="Times New Roman"/>
          <w:b/>
          <w:color w:val="000000" w:themeColor="text1"/>
        </w:rPr>
        <w:t>5. CAN FUN THEORY CHANGE THE WAY WE TACKLE ENERGY USE?</w:t>
      </w:r>
      <w:r w:rsidR="00695CDE" w:rsidRPr="00772247">
        <w:rPr>
          <w:rStyle w:val="FootnoteReference"/>
          <w:rFonts w:eastAsia="Times New Roman"/>
          <w:b/>
          <w:color w:val="000000" w:themeColor="text1"/>
        </w:rPr>
        <w:footnoteReference w:id="7"/>
      </w:r>
    </w:p>
    <w:p w14:paraId="209B59D8" w14:textId="77777777" w:rsidR="00695CDE" w:rsidRPr="00772247" w:rsidRDefault="00695CDE" w:rsidP="00772247">
      <w:pPr>
        <w:rPr>
          <w:rFonts w:eastAsia="Times New Roman"/>
          <w:color w:val="000000" w:themeColor="text1"/>
          <w:shd w:val="clear" w:color="auto" w:fill="FFFFFF"/>
        </w:rPr>
      </w:pPr>
    </w:p>
    <w:p w14:paraId="02D26FDD" w14:textId="77777777" w:rsidR="00695CDE" w:rsidRPr="00772247" w:rsidRDefault="00695CDE" w:rsidP="00772247">
      <w:pPr>
        <w:rPr>
          <w:rFonts w:eastAsia="Times New Roman"/>
          <w:color w:val="000000" w:themeColor="text1"/>
        </w:rPr>
      </w:pPr>
      <w:r w:rsidRPr="00772247">
        <w:rPr>
          <w:rFonts w:eastAsia="Times New Roman"/>
          <w:color w:val="000000" w:themeColor="text1"/>
          <w:shd w:val="clear" w:color="auto" w:fill="FFFFFF"/>
        </w:rPr>
        <w:t>Whether it’s common sense or just plain instinct, we are more likely to do something if we consider it fun: this risk/reward strategy is the stimulus we need to do things we’d sooner rather avoid. Can it be applied to anything though? It certainly seems doubtful, but maybe not quite as unrealistic as you might think.</w:t>
      </w:r>
    </w:p>
    <w:p w14:paraId="5E1A3432" w14:textId="77777777" w:rsidR="00695CDE" w:rsidRPr="00772247" w:rsidRDefault="00695CDE" w:rsidP="00772247">
      <w:pPr>
        <w:rPr>
          <w:rFonts w:eastAsia="Times New Roman"/>
          <w:color w:val="000000" w:themeColor="text1"/>
        </w:rPr>
      </w:pPr>
    </w:p>
    <w:p w14:paraId="2E5143E0" w14:textId="77777777" w:rsidR="00695CDE" w:rsidRPr="00772247" w:rsidRDefault="00695CDE" w:rsidP="00772247">
      <w:pPr>
        <w:rPr>
          <w:rFonts w:eastAsia="Times New Roman"/>
          <w:color w:val="000000" w:themeColor="text1"/>
        </w:rPr>
      </w:pPr>
      <w:r w:rsidRPr="00772247">
        <w:rPr>
          <w:rFonts w:eastAsia="Times New Roman"/>
          <w:color w:val="000000" w:themeColor="text1"/>
          <w:shd w:val="clear" w:color="auto" w:fill="FFFFFF"/>
        </w:rPr>
        <w:t>Most adverts we see, for example, focus on attitude change when, really, the stimulus we’re conditioned to respond better to is </w:t>
      </w:r>
      <w:r w:rsidRPr="00772247">
        <w:rPr>
          <w:rFonts w:eastAsia="Times New Roman"/>
          <w:i/>
          <w:iCs/>
          <w:color w:val="000000" w:themeColor="text1"/>
          <w:bdr w:val="none" w:sz="0" w:space="0" w:color="auto" w:frame="1"/>
          <w:shd w:val="clear" w:color="auto" w:fill="FFFFFF"/>
        </w:rPr>
        <w:t>behavioral</w:t>
      </w:r>
      <w:r w:rsidRPr="00772247">
        <w:rPr>
          <w:rFonts w:eastAsia="Times New Roman"/>
          <w:color w:val="000000" w:themeColor="text1"/>
          <w:shd w:val="clear" w:color="auto" w:fill="FFFFFF"/>
        </w:rPr>
        <w:t xml:space="preserve"> change. In other words, tell someone they should recycle and </w:t>
      </w:r>
      <w:r w:rsidRPr="00772247">
        <w:rPr>
          <w:rFonts w:eastAsia="Times New Roman"/>
          <w:i/>
          <w:color w:val="000000" w:themeColor="text1"/>
          <w:shd w:val="clear" w:color="auto" w:fill="FFFFFF"/>
        </w:rPr>
        <w:t xml:space="preserve">they’ll agree with you, intend to recycle, and then forget. </w:t>
      </w:r>
      <w:r w:rsidRPr="00772247">
        <w:rPr>
          <w:rFonts w:eastAsia="Times New Roman"/>
          <w:color w:val="000000" w:themeColor="text1"/>
          <w:shd w:val="clear" w:color="auto" w:fill="FFFFFF"/>
        </w:rPr>
        <w:t>This is because remembering attitudinal change requires effort and thought. However, when that same person has the means to recycle at the point of decision-making, instant behavioral change happens. And it feels good too.</w:t>
      </w:r>
    </w:p>
    <w:p w14:paraId="7EA5AD75" w14:textId="77777777" w:rsidR="00695CDE" w:rsidRPr="00772247" w:rsidRDefault="00695CDE" w:rsidP="00772247">
      <w:pPr>
        <w:rPr>
          <w:rFonts w:eastAsia="Times New Roman"/>
          <w:color w:val="000000" w:themeColor="text1"/>
        </w:rPr>
      </w:pPr>
    </w:p>
    <w:p w14:paraId="34FC4D7A" w14:textId="77777777" w:rsidR="00695CDE" w:rsidRPr="00772247" w:rsidRDefault="00695CDE" w:rsidP="00772247">
      <w:pPr>
        <w:shd w:val="clear" w:color="auto" w:fill="FFFFFF"/>
        <w:textAlignment w:val="baseline"/>
        <w:rPr>
          <w:color w:val="000000" w:themeColor="text1"/>
        </w:rPr>
      </w:pPr>
      <w:r w:rsidRPr="00772247">
        <w:rPr>
          <w:color w:val="000000" w:themeColor="text1"/>
        </w:rPr>
        <w:t>Or would you be more likely to recycle those bottles if the bottle bank was actually </w:t>
      </w:r>
      <w:hyperlink r:id="rId9" w:history="1">
        <w:r w:rsidRPr="00772247">
          <w:rPr>
            <w:color w:val="000000" w:themeColor="text1"/>
            <w:bdr w:val="none" w:sz="0" w:space="0" w:color="auto" w:frame="1"/>
          </w:rPr>
          <w:t>an arcade machine</w:t>
        </w:r>
      </w:hyperlink>
      <w:r w:rsidRPr="00772247">
        <w:rPr>
          <w:color w:val="000000" w:themeColor="text1"/>
        </w:rPr>
        <w:t xml:space="preserve">? </w:t>
      </w:r>
    </w:p>
    <w:p w14:paraId="4E35116B" w14:textId="77777777" w:rsidR="00695CDE" w:rsidRPr="00772247" w:rsidRDefault="00695CDE" w:rsidP="00772247">
      <w:pPr>
        <w:rPr>
          <w:rFonts w:eastAsia="Times New Roman"/>
          <w:color w:val="18182C"/>
          <w:shd w:val="clear" w:color="auto" w:fill="FFFFFF"/>
        </w:rPr>
      </w:pPr>
    </w:p>
    <w:p w14:paraId="64EA1660" w14:textId="77777777" w:rsidR="00695CDE" w:rsidRPr="00772247" w:rsidRDefault="00695CDE" w:rsidP="00772247">
      <w:pPr>
        <w:rPr>
          <w:rFonts w:eastAsia="Times New Roman"/>
        </w:rPr>
      </w:pPr>
      <w:r w:rsidRPr="00772247">
        <w:rPr>
          <w:rFonts w:eastAsia="Times New Roman"/>
          <w:color w:val="18182C"/>
          <w:shd w:val="clear" w:color="auto" w:fill="FFFFFF"/>
        </w:rPr>
        <w:t>The theory behind gamification isn’t new – we’ve all been playing into marketers’ intentions for decades; from collecting loyalty cards to accepting that free gift from Netflix – we’re hardwired to enjoy game-based incentives. But now that the practice (and the term) has broken into the mainstream, it has become a serious tool in the mechanics of changing our behavior towards greener energy and other forces for good too. </w:t>
      </w:r>
    </w:p>
    <w:p w14:paraId="03695F48" w14:textId="77777777" w:rsidR="00695CDE" w:rsidRPr="00772247" w:rsidRDefault="00695CDE" w:rsidP="00772247">
      <w:pPr>
        <w:rPr>
          <w:color w:val="000000" w:themeColor="text1"/>
        </w:rPr>
      </w:pPr>
    </w:p>
    <w:p w14:paraId="7C79110A" w14:textId="77777777" w:rsidR="00C31EE0" w:rsidRPr="00772247" w:rsidRDefault="00C31EE0" w:rsidP="00772247">
      <w:pPr>
        <w:rPr>
          <w:color w:val="000000" w:themeColor="text1"/>
        </w:rPr>
      </w:pPr>
    </w:p>
    <w:p w14:paraId="4B8F9C33" w14:textId="77777777" w:rsidR="00C31EE0" w:rsidRPr="00772247" w:rsidRDefault="00A327C2" w:rsidP="00772247">
      <w:pPr>
        <w:jc w:val="center"/>
        <w:rPr>
          <w:b/>
          <w:color w:val="000000" w:themeColor="text1"/>
        </w:rPr>
      </w:pPr>
      <w:r w:rsidRPr="00772247">
        <w:rPr>
          <w:b/>
          <w:color w:val="000000" w:themeColor="text1"/>
        </w:rPr>
        <w:t>PART II</w:t>
      </w:r>
    </w:p>
    <w:p w14:paraId="5F683C33" w14:textId="77777777" w:rsidR="000B219C" w:rsidRPr="00772247" w:rsidRDefault="000B219C" w:rsidP="00772247">
      <w:pPr>
        <w:rPr>
          <w:b/>
        </w:rPr>
      </w:pPr>
      <w:r w:rsidRPr="00772247">
        <w:rPr>
          <w:b/>
        </w:rPr>
        <w:t>Introduction</w:t>
      </w:r>
    </w:p>
    <w:p w14:paraId="3CDA4B0B" w14:textId="7578B84F" w:rsidR="000B219C" w:rsidRPr="00772247" w:rsidRDefault="000B219C" w:rsidP="00772247">
      <w:r w:rsidRPr="00772247">
        <w:rPr>
          <w:rFonts w:eastAsia="Times New Roman"/>
          <w:color w:val="000000" w:themeColor="text1"/>
        </w:rPr>
        <w:t xml:space="preserve">The report is about behavior change messaging, which lets the occupants of each building see their consumption changes over time and </w:t>
      </w:r>
      <w:r w:rsidR="00B21833" w:rsidRPr="00772247">
        <w:rPr>
          <w:rFonts w:eastAsia="Times New Roman"/>
          <w:color w:val="000000" w:themeColor="text1"/>
        </w:rPr>
        <w:t xml:space="preserve">it </w:t>
      </w:r>
      <w:r w:rsidRPr="00772247">
        <w:rPr>
          <w:rFonts w:eastAsia="Times New Roman"/>
          <w:color w:val="000000" w:themeColor="text1"/>
        </w:rPr>
        <w:t>will motiv</w:t>
      </w:r>
      <w:r w:rsidR="00A71A75" w:rsidRPr="00772247">
        <w:rPr>
          <w:rFonts w:eastAsia="Times New Roman"/>
          <w:color w:val="000000" w:themeColor="text1"/>
        </w:rPr>
        <w:t>ate them to conserve energy</w:t>
      </w:r>
      <w:r w:rsidRPr="00772247">
        <w:rPr>
          <w:rFonts w:eastAsia="Times New Roman"/>
          <w:color w:val="000000" w:themeColor="text1"/>
        </w:rPr>
        <w:t xml:space="preserve">. The goal of the report is to display “past-current-new” patterns of energy conservation change. The result will be a paper with recommendations how to motivate people to be more sustainable. </w:t>
      </w:r>
    </w:p>
    <w:p w14:paraId="1D7DA8A9" w14:textId="77777777" w:rsidR="000B219C" w:rsidRPr="00772247" w:rsidRDefault="000B219C" w:rsidP="00772247"/>
    <w:p w14:paraId="28DE69D6" w14:textId="467CDB96" w:rsidR="008208FD" w:rsidRPr="00772247" w:rsidRDefault="009A63C8" w:rsidP="00772247">
      <w:pPr>
        <w:rPr>
          <w:rFonts w:eastAsia="Times New Roman"/>
          <w:color w:val="000000" w:themeColor="text1"/>
        </w:rPr>
      </w:pPr>
      <w:r w:rsidRPr="00772247">
        <w:rPr>
          <w:rFonts w:eastAsia="Times New Roman"/>
          <w:color w:val="000000" w:themeColor="text1"/>
        </w:rPr>
        <w:t>The</w:t>
      </w:r>
      <w:r w:rsidR="000B219C" w:rsidRPr="00772247">
        <w:rPr>
          <w:rFonts w:eastAsia="Times New Roman"/>
          <w:color w:val="000000" w:themeColor="text1"/>
        </w:rPr>
        <w:t xml:space="preserve"> data for FY08-FY2016</w:t>
      </w:r>
      <w:r w:rsidRPr="00772247">
        <w:rPr>
          <w:rFonts w:eastAsia="Times New Roman"/>
          <w:color w:val="000000" w:themeColor="text1"/>
        </w:rPr>
        <w:t xml:space="preserve"> was used</w:t>
      </w:r>
      <w:r w:rsidR="000B219C" w:rsidRPr="00772247">
        <w:rPr>
          <w:rFonts w:eastAsia="Times New Roman"/>
          <w:color w:val="000000" w:themeColor="text1"/>
        </w:rPr>
        <w:t xml:space="preserve">.  The scope of the project </w:t>
      </w:r>
      <w:r w:rsidR="00655C03" w:rsidRPr="00772247">
        <w:rPr>
          <w:rFonts w:eastAsia="Times New Roman"/>
          <w:color w:val="000000" w:themeColor="text1"/>
        </w:rPr>
        <w:t>are</w:t>
      </w:r>
      <w:r w:rsidR="0011253F" w:rsidRPr="00772247">
        <w:rPr>
          <w:rFonts w:eastAsia="Times New Roman"/>
          <w:color w:val="000000" w:themeColor="text1"/>
        </w:rPr>
        <w:t xml:space="preserve"> 175 buildings at</w:t>
      </w:r>
      <w:r w:rsidR="000B219C" w:rsidRPr="00772247">
        <w:rPr>
          <w:rFonts w:eastAsia="Times New Roman"/>
          <w:color w:val="000000" w:themeColor="text1"/>
        </w:rPr>
        <w:t xml:space="preserve"> the </w:t>
      </w:r>
      <w:r w:rsidR="00655C03" w:rsidRPr="00772247">
        <w:rPr>
          <w:rFonts w:eastAsia="Times New Roman"/>
          <w:color w:val="000000" w:themeColor="text1"/>
        </w:rPr>
        <w:t xml:space="preserve">UIUC </w:t>
      </w:r>
      <w:r w:rsidR="000B219C" w:rsidRPr="00772247">
        <w:rPr>
          <w:rFonts w:eastAsia="Times New Roman"/>
          <w:color w:val="000000" w:themeColor="text1"/>
        </w:rPr>
        <w:t xml:space="preserve">campus. </w:t>
      </w:r>
      <w:r w:rsidR="008208FD" w:rsidRPr="00772247">
        <w:t xml:space="preserve">Then the pilot project was about the Lincoln Hall. After Lincoln Hall, the work was started with the </w:t>
      </w:r>
      <w:r w:rsidR="00F45142" w:rsidRPr="00772247">
        <w:t>Soybean National Laboratory and</w:t>
      </w:r>
      <w:r w:rsidR="008208FD" w:rsidRPr="00772247">
        <w:t xml:space="preserve"> Illini Union</w:t>
      </w:r>
      <w:r w:rsidR="00F45142" w:rsidRPr="00772247">
        <w:t>.</w:t>
      </w:r>
    </w:p>
    <w:p w14:paraId="778F100E" w14:textId="77777777" w:rsidR="000B219C" w:rsidRPr="00772247" w:rsidRDefault="000B219C" w:rsidP="00772247"/>
    <w:p w14:paraId="18A4ADB5" w14:textId="039D751F" w:rsidR="00624D7D" w:rsidRPr="00772247" w:rsidRDefault="00624D7D" w:rsidP="00772247">
      <w:pPr>
        <w:rPr>
          <w:b/>
        </w:rPr>
      </w:pPr>
      <w:r w:rsidRPr="00772247">
        <w:rPr>
          <w:b/>
        </w:rPr>
        <w:t>Instructions</w:t>
      </w:r>
    </w:p>
    <w:p w14:paraId="60CD51A6" w14:textId="022DD486" w:rsidR="000B219C" w:rsidRPr="00772247" w:rsidRDefault="000F73CF" w:rsidP="00772247">
      <w:r w:rsidRPr="00772247">
        <w:t>1) Annual Energy Report</w:t>
      </w:r>
      <w:r w:rsidR="00577FE4" w:rsidRPr="00772247">
        <w:t xml:space="preserve"> from University of Pennsylvania (Facilities and Real Estate services)</w:t>
      </w:r>
      <w:r w:rsidR="00D77274" w:rsidRPr="00772247">
        <w:t xml:space="preserve"> was used as an example</w:t>
      </w:r>
      <w:r w:rsidR="00600ED3" w:rsidRPr="00772247">
        <w:t xml:space="preserve">, </w:t>
      </w:r>
      <w:r w:rsidR="000B219C" w:rsidRPr="00772247">
        <w:t xml:space="preserve">which was given by </w:t>
      </w:r>
      <w:r w:rsidR="000B219C" w:rsidRPr="00772247">
        <w:rPr>
          <w:rFonts w:eastAsia="Times New Roman"/>
          <w:color w:val="000000"/>
        </w:rPr>
        <w:t xml:space="preserve">Dr. Yi, who shared with </w:t>
      </w:r>
      <w:r w:rsidR="00083961" w:rsidRPr="00772247">
        <w:rPr>
          <w:rFonts w:eastAsia="Times New Roman"/>
          <w:color w:val="000000"/>
        </w:rPr>
        <w:t>ECBS SWAT</w:t>
      </w:r>
      <w:r w:rsidR="000B219C" w:rsidRPr="00772247">
        <w:rPr>
          <w:rFonts w:eastAsia="Times New Roman"/>
          <w:color w:val="000000"/>
        </w:rPr>
        <w:t xml:space="preserve">eam his campus level building performance research on energy usage modeling. </w:t>
      </w:r>
      <w:r w:rsidR="000B219C" w:rsidRPr="00772247">
        <w:rPr>
          <w:rFonts w:eastAsia="Times New Roman"/>
          <w:color w:val="000000" w:themeColor="text1"/>
        </w:rPr>
        <w:t xml:space="preserve">Dr. Yi used </w:t>
      </w:r>
      <w:r w:rsidR="000B219C" w:rsidRPr="00772247">
        <w:rPr>
          <w:rFonts w:eastAsia="Times New Roman"/>
          <w:bCs/>
          <w:color w:val="000000" w:themeColor="text1"/>
          <w:shd w:val="clear" w:color="auto" w:fill="FFFFFF"/>
        </w:rPr>
        <w:t>BPAT+</w:t>
      </w:r>
      <w:r w:rsidR="000B219C" w:rsidRPr="00772247">
        <w:rPr>
          <w:rFonts w:eastAsia="Times New Roman"/>
          <w:color w:val="000000" w:themeColor="text1"/>
          <w:shd w:val="clear" w:color="auto" w:fill="FFFFFF"/>
        </w:rPr>
        <w:t> Building Performance Assessment Toolkit in his research to calculate total energy consumption</w:t>
      </w:r>
      <w:r w:rsidR="00FF5B57" w:rsidRPr="00772247">
        <w:rPr>
          <w:rFonts w:eastAsia="Times New Roman"/>
          <w:color w:val="000000" w:themeColor="text1"/>
          <w:shd w:val="clear" w:color="auto" w:fill="FFFFFF"/>
        </w:rPr>
        <w:t xml:space="preserve"> of the campus</w:t>
      </w:r>
      <w:r w:rsidR="000B219C" w:rsidRPr="00772247">
        <w:rPr>
          <w:rFonts w:eastAsia="Times New Roman"/>
          <w:color w:val="000000" w:themeColor="text1"/>
          <w:shd w:val="clear" w:color="auto" w:fill="FFFFFF"/>
        </w:rPr>
        <w:t xml:space="preserve">. He identified types of research buildings-labs, offices and education buildings. </w:t>
      </w:r>
      <w:r w:rsidR="000B219C" w:rsidRPr="00772247">
        <w:rPr>
          <w:rFonts w:eastAsia="Times New Roman"/>
          <w:color w:val="000000"/>
        </w:rPr>
        <w:t>He also mentioned that the problem was with converting units of energy in various buildings. He identified two main issues for the research-validating the data for the buildings and reporting (what energy type we are using).</w:t>
      </w:r>
    </w:p>
    <w:p w14:paraId="3FC236CE" w14:textId="77777777" w:rsidR="00BA6EE1" w:rsidRPr="00772247" w:rsidRDefault="00BA6EE1" w:rsidP="00772247">
      <w:pPr>
        <w:rPr>
          <w:rFonts w:eastAsia="Times New Roman"/>
          <w:color w:val="000000"/>
        </w:rPr>
      </w:pPr>
    </w:p>
    <w:p w14:paraId="5C6EAAF9" w14:textId="14A467C6" w:rsidR="00B57E99" w:rsidRPr="00772247" w:rsidRDefault="00250FCC" w:rsidP="00772247">
      <w:pPr>
        <w:rPr>
          <w:rFonts w:eastAsia="Times New Roman"/>
          <w:color w:val="000000"/>
        </w:rPr>
      </w:pPr>
      <w:r w:rsidRPr="00772247">
        <w:rPr>
          <w:rFonts w:eastAsia="Times New Roman"/>
          <w:color w:val="000000"/>
        </w:rPr>
        <w:t xml:space="preserve">2) </w:t>
      </w:r>
      <w:r w:rsidR="00AB7C7B" w:rsidRPr="00772247">
        <w:rPr>
          <w:rFonts w:eastAsia="Times New Roman"/>
          <w:color w:val="000000"/>
        </w:rPr>
        <w:t>Using the model for University of Pennsylvania, the same graph was created for UIUC campus.</w:t>
      </w:r>
      <w:r w:rsidR="00B57E99" w:rsidRPr="00772247">
        <w:rPr>
          <w:rFonts w:eastAsia="Times New Roman"/>
          <w:color w:val="000000"/>
        </w:rPr>
        <w:t xml:space="preserve"> </w:t>
      </w:r>
    </w:p>
    <w:p w14:paraId="7F673F30" w14:textId="77777777" w:rsidR="00004D9C" w:rsidRPr="00772247" w:rsidRDefault="00004D9C" w:rsidP="00772247">
      <w:pPr>
        <w:rPr>
          <w:rFonts w:eastAsia="Times New Roman"/>
          <w:color w:val="000000"/>
        </w:rPr>
      </w:pPr>
    </w:p>
    <w:p w14:paraId="622837F3" w14:textId="7BB6C875" w:rsidR="00004D9C" w:rsidRPr="00772247" w:rsidRDefault="00004D9C" w:rsidP="00772247">
      <w:pPr>
        <w:rPr>
          <w:rFonts w:eastAsia="Times New Roman"/>
          <w:color w:val="000000"/>
        </w:rPr>
      </w:pPr>
      <w:r w:rsidRPr="00772247">
        <w:rPr>
          <w:rFonts w:eastAsia="Times New Roman"/>
          <w:color w:val="000000"/>
        </w:rPr>
        <w:t xml:space="preserve">Information for consumption of electricity, </w:t>
      </w:r>
      <w:r w:rsidR="00803B61" w:rsidRPr="00772247">
        <w:rPr>
          <w:rFonts w:eastAsia="Times New Roman"/>
          <w:color w:val="000000"/>
        </w:rPr>
        <w:t>s</w:t>
      </w:r>
      <w:r w:rsidRPr="00772247">
        <w:rPr>
          <w:rFonts w:eastAsia="Times New Roman"/>
          <w:color w:val="000000"/>
        </w:rPr>
        <w:t xml:space="preserve">team and </w:t>
      </w:r>
      <w:r w:rsidR="00803B61" w:rsidRPr="00772247">
        <w:rPr>
          <w:rFonts w:eastAsia="Times New Roman"/>
          <w:color w:val="000000"/>
        </w:rPr>
        <w:t>c</w:t>
      </w:r>
      <w:r w:rsidRPr="00772247">
        <w:rPr>
          <w:rFonts w:eastAsia="Times New Roman"/>
          <w:color w:val="000000"/>
        </w:rPr>
        <w:t>hilled water of Lincoln Hall (July 2015-June 2016) were used.</w:t>
      </w:r>
    </w:p>
    <w:p w14:paraId="3BF75A04" w14:textId="77777777" w:rsidR="00004D9C" w:rsidRPr="00772247" w:rsidRDefault="00004D9C" w:rsidP="00772247">
      <w:pPr>
        <w:rPr>
          <w:rFonts w:eastAsia="Times New Roman"/>
          <w:color w:val="000000"/>
        </w:rPr>
      </w:pPr>
    </w:p>
    <w:p w14:paraId="1B452525" w14:textId="3B537B64" w:rsidR="00004D9C" w:rsidRPr="00772247" w:rsidRDefault="00004D9C" w:rsidP="00772247">
      <w:pPr>
        <w:rPr>
          <w:rFonts w:eastAsia="Times New Roman"/>
        </w:rPr>
      </w:pPr>
      <w:r w:rsidRPr="00772247">
        <w:rPr>
          <w:rFonts w:eastAsia="Times New Roman"/>
          <w:color w:val="000000"/>
        </w:rPr>
        <w:t xml:space="preserve">Electricity consumption was converted from kWh to </w:t>
      </w:r>
      <w:r w:rsidR="00827412" w:rsidRPr="00772247">
        <w:rPr>
          <w:rFonts w:eastAsia="Times New Roman"/>
          <w:color w:val="000000"/>
        </w:rPr>
        <w:t>k</w:t>
      </w:r>
      <w:r w:rsidRPr="00772247">
        <w:rPr>
          <w:rFonts w:eastAsia="Times New Roman"/>
          <w:color w:val="000000"/>
        </w:rPr>
        <w:t>B</w:t>
      </w:r>
      <w:r w:rsidR="00827412" w:rsidRPr="00772247">
        <w:rPr>
          <w:rFonts w:eastAsia="Times New Roman"/>
          <w:color w:val="000000"/>
        </w:rPr>
        <w:t>tu</w:t>
      </w:r>
      <w:r w:rsidR="00DE78D2" w:rsidRPr="00772247">
        <w:rPr>
          <w:rFonts w:eastAsia="Times New Roman"/>
          <w:color w:val="000000"/>
        </w:rPr>
        <w:t>, by multiplying k</w:t>
      </w:r>
      <w:r w:rsidRPr="00772247">
        <w:rPr>
          <w:rFonts w:eastAsia="Times New Roman"/>
          <w:color w:val="000000"/>
        </w:rPr>
        <w:t>W</w:t>
      </w:r>
      <w:r w:rsidR="00DE78D2" w:rsidRPr="00772247">
        <w:rPr>
          <w:rFonts w:eastAsia="Times New Roman"/>
          <w:color w:val="000000"/>
        </w:rPr>
        <w:t>h</w:t>
      </w:r>
      <w:r w:rsidRPr="00772247">
        <w:rPr>
          <w:rFonts w:eastAsia="Times New Roman"/>
          <w:color w:val="000000"/>
        </w:rPr>
        <w:t xml:space="preserve"> by </w:t>
      </w:r>
      <w:r w:rsidR="00730F7B" w:rsidRPr="00772247">
        <w:rPr>
          <w:rFonts w:eastAsia="Times New Roman"/>
        </w:rPr>
        <w:t>3.412</w:t>
      </w:r>
      <w:r w:rsidR="00336EA3" w:rsidRPr="00772247">
        <w:rPr>
          <w:rFonts w:eastAsia="Times New Roman"/>
        </w:rPr>
        <w:t>.</w:t>
      </w:r>
    </w:p>
    <w:p w14:paraId="0A2A741A" w14:textId="77777777" w:rsidR="00336EA3" w:rsidRPr="00772247" w:rsidRDefault="00336EA3" w:rsidP="00772247">
      <w:pPr>
        <w:rPr>
          <w:rFonts w:eastAsia="Times New Roman"/>
          <w:color w:val="000000"/>
        </w:rPr>
      </w:pPr>
    </w:p>
    <w:p w14:paraId="70505C69" w14:textId="77777777" w:rsidR="00477C23" w:rsidRPr="00772247" w:rsidRDefault="00DE78D2" w:rsidP="00772247">
      <w:pPr>
        <w:rPr>
          <w:rFonts w:eastAsia="Times New Roman"/>
          <w:color w:val="000000"/>
        </w:rPr>
      </w:pPr>
      <w:r w:rsidRPr="00772247">
        <w:rPr>
          <w:rFonts w:eastAsia="Times New Roman"/>
          <w:color w:val="000000"/>
        </w:rPr>
        <w:t>Chilled Water Consumption was converted from MBTU to kBtu, by multiplying MBTU by 1000.</w:t>
      </w:r>
    </w:p>
    <w:p w14:paraId="16031707" w14:textId="77777777" w:rsidR="000844C6" w:rsidRPr="00772247" w:rsidRDefault="000844C6" w:rsidP="00772247">
      <w:pPr>
        <w:rPr>
          <w:rFonts w:eastAsia="Times New Roman"/>
          <w:color w:val="000000"/>
        </w:rPr>
      </w:pPr>
    </w:p>
    <w:p w14:paraId="66311267" w14:textId="55F612FE" w:rsidR="00DE78D2" w:rsidRPr="00772247" w:rsidRDefault="00004D9C" w:rsidP="00772247">
      <w:pPr>
        <w:rPr>
          <w:rFonts w:eastAsia="Times New Roman"/>
        </w:rPr>
      </w:pPr>
      <w:r w:rsidRPr="00772247">
        <w:rPr>
          <w:rFonts w:eastAsia="Times New Roman"/>
          <w:color w:val="000000"/>
        </w:rPr>
        <w:t xml:space="preserve">Steam consumption was converted from klbs to </w:t>
      </w:r>
      <w:r w:rsidR="00827412" w:rsidRPr="00772247">
        <w:rPr>
          <w:rFonts w:eastAsia="Times New Roman"/>
          <w:color w:val="000000"/>
        </w:rPr>
        <w:t>kBtu</w:t>
      </w:r>
      <w:r w:rsidRPr="00772247">
        <w:rPr>
          <w:rFonts w:eastAsia="Times New Roman"/>
          <w:color w:val="000000"/>
        </w:rPr>
        <w:t xml:space="preserve">, by multiplying klbs by </w:t>
      </w:r>
      <w:r w:rsidR="00DE78D2" w:rsidRPr="00772247">
        <w:rPr>
          <w:rFonts w:eastAsia="Times New Roman"/>
        </w:rPr>
        <w:t xml:space="preserve">1,194. </w:t>
      </w:r>
    </w:p>
    <w:p w14:paraId="5C437503" w14:textId="77777777" w:rsidR="00477C23" w:rsidRPr="00772247" w:rsidRDefault="00477C23" w:rsidP="00772247">
      <w:pPr>
        <w:rPr>
          <w:rFonts w:eastAsia="Times New Roman"/>
        </w:rPr>
      </w:pPr>
    </w:p>
    <w:p w14:paraId="22ECCCA8" w14:textId="56685044" w:rsidR="00477C23" w:rsidRPr="00772247" w:rsidRDefault="00477C23" w:rsidP="00772247">
      <w:pPr>
        <w:rPr>
          <w:rFonts w:eastAsia="Times New Roman"/>
          <w:color w:val="000000"/>
        </w:rPr>
      </w:pPr>
      <w:r w:rsidRPr="00772247">
        <w:rPr>
          <w:rFonts w:eastAsia="Times New Roman"/>
        </w:rPr>
        <w:t xml:space="preserve">Gas consumption was converted from </w:t>
      </w:r>
      <w:r w:rsidR="0039382E" w:rsidRPr="00772247">
        <w:rPr>
          <w:rFonts w:eastAsia="Times New Roman"/>
        </w:rPr>
        <w:t>THR to kBtu, by multiplying THR by 12.</w:t>
      </w:r>
    </w:p>
    <w:p w14:paraId="5EEBBE74" w14:textId="77777777" w:rsidR="0095034D" w:rsidRPr="00772247" w:rsidRDefault="0095034D" w:rsidP="00772247">
      <w:pPr>
        <w:rPr>
          <w:rFonts w:eastAsia="Times New Roman"/>
          <w:color w:val="000000"/>
        </w:rPr>
      </w:pPr>
    </w:p>
    <w:p w14:paraId="38DEC7D4" w14:textId="4B35ED8F" w:rsidR="00B57E99" w:rsidRPr="00772247" w:rsidRDefault="00B57E99" w:rsidP="00772247">
      <w:pPr>
        <w:rPr>
          <w:rFonts w:eastAsia="Times New Roman"/>
          <w:color w:val="000000"/>
        </w:rPr>
      </w:pPr>
      <w:r w:rsidRPr="00772247">
        <w:rPr>
          <w:rFonts w:eastAsia="Times New Roman"/>
          <w:color w:val="000000"/>
        </w:rPr>
        <w:t>Target is best 30% of normal range</w:t>
      </w:r>
      <w:r w:rsidR="00004D9C" w:rsidRPr="00772247">
        <w:rPr>
          <w:rFonts w:eastAsia="Times New Roman"/>
          <w:color w:val="000000"/>
        </w:rPr>
        <w:t>.</w:t>
      </w:r>
    </w:p>
    <w:p w14:paraId="55A4D300" w14:textId="77777777" w:rsidR="00AB7C7B" w:rsidRPr="00772247" w:rsidRDefault="00AB7C7B" w:rsidP="00772247">
      <w:pPr>
        <w:rPr>
          <w:rFonts w:eastAsia="Times New Roman"/>
          <w:color w:val="000000"/>
        </w:rPr>
      </w:pPr>
    </w:p>
    <w:p w14:paraId="6EAE5708" w14:textId="2DAA6985" w:rsidR="000B219C" w:rsidRPr="00772247" w:rsidRDefault="00BC39F6" w:rsidP="00772247">
      <w:pPr>
        <w:rPr>
          <w:rFonts w:eastAsia="Times New Roman"/>
          <w:b/>
          <w:color w:val="000000"/>
        </w:rPr>
      </w:pPr>
      <w:r w:rsidRPr="00772247">
        <w:rPr>
          <w:rFonts w:eastAsia="Times New Roman"/>
          <w:b/>
          <w:color w:val="000000"/>
        </w:rPr>
        <w:t>Annual energy consumption at UIUC</w:t>
      </w:r>
    </w:p>
    <w:p w14:paraId="314DBFF3" w14:textId="77777777" w:rsidR="00165E03" w:rsidRPr="00772247" w:rsidRDefault="00AB7C7B" w:rsidP="00772247">
      <w:pPr>
        <w:rPr>
          <w:rFonts w:eastAsia="Times New Roman"/>
          <w:color w:val="000000"/>
        </w:rPr>
      </w:pPr>
      <w:r w:rsidRPr="00772247">
        <w:rPr>
          <w:noProof/>
        </w:rPr>
        <w:drawing>
          <wp:inline distT="0" distB="0" distL="0" distR="0" wp14:anchorId="2E7EFE6F" wp14:editId="6F537D69">
            <wp:extent cx="6185535" cy="3202940"/>
            <wp:effectExtent l="0" t="0" r="12065" b="2286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6039F43" w14:textId="44EC2853" w:rsidR="00165E03" w:rsidRPr="00772247" w:rsidRDefault="004E44BD" w:rsidP="00772247">
      <w:pPr>
        <w:rPr>
          <w:rFonts w:eastAsia="Times New Roman"/>
          <w:b/>
          <w:color w:val="000000"/>
        </w:rPr>
      </w:pPr>
      <w:r w:rsidRPr="00772247">
        <w:rPr>
          <w:rFonts w:eastAsia="Times New Roman"/>
          <w:b/>
          <w:color w:val="000000"/>
        </w:rPr>
        <w:t>Here we can see annual consumption in kBtu of gas, steam, chilled water at UIUC campus from 2008 until 2016. Target is best 30% of normal range.</w:t>
      </w:r>
    </w:p>
    <w:p w14:paraId="728A9E58" w14:textId="77777777" w:rsidR="00165E03" w:rsidRPr="00772247" w:rsidRDefault="00165E03" w:rsidP="00772247">
      <w:pPr>
        <w:rPr>
          <w:rFonts w:eastAsia="Times New Roman"/>
          <w:color w:val="000000"/>
        </w:rPr>
      </w:pPr>
    </w:p>
    <w:p w14:paraId="7D838FB1" w14:textId="1FB8EE8D" w:rsidR="00E3320F" w:rsidRPr="00772247" w:rsidRDefault="00B73000" w:rsidP="00772247">
      <w:pPr>
        <w:rPr>
          <w:rFonts w:eastAsia="Times New Roman"/>
          <w:color w:val="000000"/>
        </w:rPr>
      </w:pPr>
      <w:r w:rsidRPr="00772247">
        <w:rPr>
          <w:rFonts w:eastAsia="Times New Roman"/>
          <w:color w:val="000000"/>
        </w:rPr>
        <w:t>3)</w:t>
      </w:r>
      <w:r w:rsidR="00F44917" w:rsidRPr="00772247">
        <w:rPr>
          <w:rFonts w:eastAsia="Times New Roman"/>
          <w:color w:val="000000"/>
        </w:rPr>
        <w:t xml:space="preserve">179 buildings </w:t>
      </w:r>
      <w:r w:rsidR="00047065" w:rsidRPr="00772247">
        <w:rPr>
          <w:rFonts w:eastAsia="Times New Roman"/>
          <w:color w:val="000000"/>
        </w:rPr>
        <w:t xml:space="preserve">were analyzed </w:t>
      </w:r>
      <w:r w:rsidR="00F44917" w:rsidRPr="00772247">
        <w:rPr>
          <w:rFonts w:eastAsia="Times New Roman"/>
          <w:color w:val="000000"/>
        </w:rPr>
        <w:t>in 2008, 2010, 2011</w:t>
      </w:r>
      <w:r w:rsidR="00047065" w:rsidRPr="00772247">
        <w:rPr>
          <w:rFonts w:eastAsia="Times New Roman"/>
          <w:color w:val="000000"/>
        </w:rPr>
        <w:t>.</w:t>
      </w:r>
      <w:r w:rsidR="001E4119" w:rsidRPr="00772247">
        <w:rPr>
          <w:rFonts w:eastAsia="Times New Roman"/>
          <w:color w:val="000000"/>
        </w:rPr>
        <w:t xml:space="preserve"> Since the information for buildings did not match</w:t>
      </w:r>
      <w:r w:rsidR="00F75EC5" w:rsidRPr="00772247">
        <w:rPr>
          <w:rFonts w:eastAsia="Times New Roman"/>
          <w:color w:val="000000"/>
        </w:rPr>
        <w:t xml:space="preserve"> in different years, all buildings were lined up manually</w:t>
      </w:r>
      <w:r w:rsidR="00E60AFC" w:rsidRPr="00772247">
        <w:rPr>
          <w:rFonts w:eastAsia="Times New Roman"/>
          <w:color w:val="000000"/>
        </w:rPr>
        <w:t xml:space="preserve"> in Excel document</w:t>
      </w:r>
      <w:r w:rsidR="00F75EC5" w:rsidRPr="00772247">
        <w:rPr>
          <w:rFonts w:eastAsia="Times New Roman"/>
          <w:color w:val="000000"/>
        </w:rPr>
        <w:t xml:space="preserve">. </w:t>
      </w:r>
    </w:p>
    <w:p w14:paraId="3B2C75D5" w14:textId="77777777" w:rsidR="00164474" w:rsidRPr="00772247" w:rsidRDefault="00164474" w:rsidP="00772247">
      <w:pPr>
        <w:rPr>
          <w:rFonts w:eastAsia="Times New Roman"/>
          <w:color w:val="000000"/>
        </w:rPr>
      </w:pPr>
    </w:p>
    <w:p w14:paraId="33B14206" w14:textId="439F0DF8" w:rsidR="00164474" w:rsidRPr="00772247" w:rsidRDefault="00164474" w:rsidP="00772247">
      <w:pPr>
        <w:rPr>
          <w:rFonts w:eastAsia="Times New Roman"/>
          <w:color w:val="000000"/>
        </w:rPr>
      </w:pPr>
      <w:r w:rsidRPr="00772247">
        <w:rPr>
          <w:rFonts w:eastAsia="Times New Roman"/>
          <w:color w:val="000000"/>
        </w:rPr>
        <w:t xml:space="preserve">After that, </w:t>
      </w:r>
      <w:r w:rsidR="00F95928" w:rsidRPr="00772247">
        <w:rPr>
          <w:rFonts w:eastAsia="Times New Roman"/>
          <w:color w:val="000000"/>
        </w:rPr>
        <w:t>a</w:t>
      </w:r>
      <w:r w:rsidRPr="00772247">
        <w:rPr>
          <w:rFonts w:eastAsia="Times New Roman"/>
          <w:color w:val="000000"/>
        </w:rPr>
        <w:t xml:space="preserve"> table was created for these 3 years with total energy consumption (MMBTU).</w:t>
      </w:r>
    </w:p>
    <w:p w14:paraId="323EAB42" w14:textId="77777777" w:rsidR="00E3320F" w:rsidRPr="00772247" w:rsidRDefault="00E3320F" w:rsidP="00772247">
      <w:pPr>
        <w:rPr>
          <w:rFonts w:eastAsia="Times New Roman"/>
          <w:color w:val="000000"/>
        </w:rPr>
      </w:pPr>
    </w:p>
    <w:p w14:paraId="368A0A4A" w14:textId="77777777" w:rsidR="008D1156" w:rsidRPr="00772247" w:rsidRDefault="008D1156" w:rsidP="00772247">
      <w:pPr>
        <w:rPr>
          <w:rFonts w:eastAsia="Times New Roman"/>
          <w:color w:val="000000"/>
        </w:rPr>
      </w:pPr>
    </w:p>
    <w:p w14:paraId="68B9872E" w14:textId="77777777" w:rsidR="008D1156" w:rsidRPr="00772247" w:rsidRDefault="008D1156" w:rsidP="00772247">
      <w:pPr>
        <w:rPr>
          <w:rFonts w:eastAsia="Times New Roman"/>
          <w:color w:val="000000"/>
        </w:rPr>
      </w:pPr>
    </w:p>
    <w:p w14:paraId="3083E8CC" w14:textId="77777777" w:rsidR="008D1156" w:rsidRPr="00772247" w:rsidRDefault="008D1156" w:rsidP="00772247">
      <w:pPr>
        <w:rPr>
          <w:rFonts w:eastAsia="Times New Roman"/>
          <w:color w:val="000000"/>
        </w:rPr>
      </w:pPr>
    </w:p>
    <w:p w14:paraId="4F86A1F7" w14:textId="77777777" w:rsidR="008D1156" w:rsidRPr="00772247" w:rsidRDefault="008D1156" w:rsidP="00772247">
      <w:pPr>
        <w:rPr>
          <w:rFonts w:eastAsia="Times New Roman"/>
          <w:color w:val="000000"/>
        </w:rPr>
      </w:pPr>
    </w:p>
    <w:p w14:paraId="7B0061FC" w14:textId="77777777" w:rsidR="008D1156" w:rsidRPr="00772247" w:rsidRDefault="008D1156" w:rsidP="00772247">
      <w:pPr>
        <w:rPr>
          <w:rFonts w:eastAsia="Times New Roman"/>
          <w:color w:val="000000"/>
        </w:rPr>
      </w:pPr>
    </w:p>
    <w:p w14:paraId="58BBF7E8" w14:textId="77777777" w:rsidR="008D1156" w:rsidRPr="00772247" w:rsidRDefault="008D1156" w:rsidP="00772247">
      <w:pPr>
        <w:rPr>
          <w:rFonts w:eastAsia="Times New Roman"/>
          <w:color w:val="000000"/>
        </w:rPr>
      </w:pPr>
    </w:p>
    <w:p w14:paraId="3E2266C2" w14:textId="77777777" w:rsidR="008D1156" w:rsidRPr="00772247" w:rsidRDefault="008D1156" w:rsidP="00772247">
      <w:pPr>
        <w:rPr>
          <w:rFonts w:eastAsia="Times New Roman"/>
          <w:color w:val="000000"/>
        </w:rPr>
      </w:pPr>
    </w:p>
    <w:p w14:paraId="48CCF465" w14:textId="77777777" w:rsidR="008D1156" w:rsidRPr="00772247" w:rsidRDefault="008D1156" w:rsidP="00772247">
      <w:pPr>
        <w:rPr>
          <w:rFonts w:eastAsia="Times New Roman"/>
          <w:color w:val="000000"/>
        </w:rPr>
      </w:pPr>
    </w:p>
    <w:p w14:paraId="79C8B150" w14:textId="77777777" w:rsidR="008D1156" w:rsidRPr="00772247" w:rsidRDefault="008D1156" w:rsidP="00772247">
      <w:pPr>
        <w:rPr>
          <w:rFonts w:eastAsia="Times New Roman"/>
          <w:color w:val="000000"/>
        </w:rPr>
      </w:pPr>
    </w:p>
    <w:p w14:paraId="2347361C" w14:textId="77777777" w:rsidR="008D1156" w:rsidRPr="00772247" w:rsidRDefault="008D1156" w:rsidP="00772247">
      <w:pPr>
        <w:rPr>
          <w:rFonts w:eastAsia="Times New Roman"/>
          <w:color w:val="000000"/>
        </w:rPr>
      </w:pPr>
    </w:p>
    <w:p w14:paraId="7DF3A74F" w14:textId="77777777" w:rsidR="008D1156" w:rsidRPr="00772247" w:rsidRDefault="008D1156" w:rsidP="00772247">
      <w:pPr>
        <w:rPr>
          <w:rFonts w:eastAsia="Times New Roman"/>
          <w:color w:val="000000"/>
        </w:rPr>
      </w:pPr>
    </w:p>
    <w:p w14:paraId="07668B6C" w14:textId="77777777" w:rsidR="008D1156" w:rsidRPr="00772247" w:rsidRDefault="008D1156" w:rsidP="00772247">
      <w:pPr>
        <w:rPr>
          <w:rFonts w:eastAsia="Times New Roman"/>
          <w:color w:val="000000"/>
        </w:rPr>
      </w:pPr>
    </w:p>
    <w:p w14:paraId="03FF5C52" w14:textId="77777777" w:rsidR="008D1156" w:rsidRDefault="008D1156" w:rsidP="00772247">
      <w:pPr>
        <w:rPr>
          <w:rFonts w:eastAsia="Times New Roman"/>
          <w:color w:val="000000"/>
        </w:rPr>
      </w:pPr>
    </w:p>
    <w:p w14:paraId="38376A66" w14:textId="77777777" w:rsidR="007B4EBB" w:rsidRPr="00772247" w:rsidRDefault="007B4EBB" w:rsidP="00772247">
      <w:pPr>
        <w:rPr>
          <w:rFonts w:eastAsia="Times New Roman"/>
          <w:color w:val="000000"/>
        </w:rPr>
      </w:pPr>
    </w:p>
    <w:p w14:paraId="7577DAA4" w14:textId="58ABF735" w:rsidR="008D1156" w:rsidRPr="00772247" w:rsidRDefault="00353A68" w:rsidP="00772247">
      <w:pPr>
        <w:rPr>
          <w:rFonts w:eastAsia="Times New Roman"/>
          <w:b/>
          <w:color w:val="000000"/>
        </w:rPr>
      </w:pPr>
      <w:r w:rsidRPr="00772247">
        <w:rPr>
          <w:rFonts w:eastAsia="Times New Roman"/>
          <w:b/>
          <w:color w:val="000000"/>
        </w:rPr>
        <w:t>Graph for 179 buildings (lined up)</w:t>
      </w:r>
    </w:p>
    <w:p w14:paraId="5E40027A" w14:textId="77777777" w:rsidR="00353A68" w:rsidRPr="00772247" w:rsidRDefault="00353A68" w:rsidP="00772247">
      <w:pPr>
        <w:rPr>
          <w:rFonts w:eastAsia="Times New Roman"/>
          <w:color w:val="000000"/>
        </w:rPr>
      </w:pPr>
    </w:p>
    <w:p w14:paraId="293CDCF8" w14:textId="77777777" w:rsidR="00B73000" w:rsidRPr="00772247" w:rsidRDefault="00B73000" w:rsidP="00772247">
      <w:pPr>
        <w:rPr>
          <w:rFonts w:eastAsia="Times New Roman"/>
          <w:color w:val="000000"/>
        </w:rPr>
      </w:pPr>
      <w:r w:rsidRPr="00772247">
        <w:rPr>
          <w:noProof/>
        </w:rPr>
        <w:drawing>
          <wp:inline distT="0" distB="0" distL="0" distR="0" wp14:anchorId="17225CD3" wp14:editId="1C4FCFE3">
            <wp:extent cx="6490335" cy="4542155"/>
            <wp:effectExtent l="0" t="0" r="12065" b="444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EF5CF57" w14:textId="771540DA" w:rsidR="00165E03" w:rsidRPr="00772247" w:rsidRDefault="005F00B9" w:rsidP="00772247">
      <w:pPr>
        <w:rPr>
          <w:rFonts w:eastAsia="Times New Roman"/>
          <w:b/>
          <w:color w:val="000000"/>
        </w:rPr>
      </w:pPr>
      <w:r w:rsidRPr="00772247">
        <w:rPr>
          <w:rFonts w:eastAsia="Times New Roman"/>
          <w:b/>
          <w:color w:val="000000"/>
        </w:rPr>
        <w:t>Here we can see</w:t>
      </w:r>
      <w:r w:rsidR="00462EBF" w:rsidRPr="00772247">
        <w:rPr>
          <w:rFonts w:eastAsia="Times New Roman"/>
          <w:b/>
          <w:color w:val="000000"/>
        </w:rPr>
        <w:t xml:space="preserve"> lined up first 179 buildings at UIUC</w:t>
      </w:r>
      <w:r w:rsidRPr="00772247">
        <w:rPr>
          <w:rFonts w:eastAsia="Times New Roman"/>
          <w:b/>
          <w:color w:val="000000"/>
        </w:rPr>
        <w:t xml:space="preserve"> the </w:t>
      </w:r>
      <w:r w:rsidR="00462EBF" w:rsidRPr="00772247">
        <w:rPr>
          <w:rFonts w:eastAsia="Times New Roman"/>
          <w:b/>
          <w:color w:val="000000"/>
        </w:rPr>
        <w:t>with total M</w:t>
      </w:r>
      <w:r w:rsidR="006217F6" w:rsidRPr="00772247">
        <w:rPr>
          <w:rFonts w:eastAsia="Times New Roman"/>
          <w:b/>
          <w:color w:val="000000"/>
        </w:rPr>
        <w:t>M</w:t>
      </w:r>
      <w:r w:rsidR="00462EBF" w:rsidRPr="00772247">
        <w:rPr>
          <w:rFonts w:eastAsia="Times New Roman"/>
          <w:b/>
          <w:color w:val="000000"/>
        </w:rPr>
        <w:t>BTU in 2008, 2010, 2011.</w:t>
      </w:r>
    </w:p>
    <w:p w14:paraId="57200DC0" w14:textId="77777777" w:rsidR="00165E03" w:rsidRPr="00772247" w:rsidRDefault="00165E03" w:rsidP="00772247">
      <w:pPr>
        <w:rPr>
          <w:rFonts w:eastAsia="Times New Roman"/>
          <w:b/>
          <w:color w:val="000000"/>
        </w:rPr>
      </w:pPr>
    </w:p>
    <w:p w14:paraId="03BC7417" w14:textId="77777777" w:rsidR="00165E03" w:rsidRPr="00772247" w:rsidRDefault="00165E03" w:rsidP="00772247">
      <w:pPr>
        <w:rPr>
          <w:rFonts w:eastAsia="Times New Roman"/>
          <w:color w:val="000000"/>
        </w:rPr>
      </w:pPr>
    </w:p>
    <w:p w14:paraId="60DE35EC" w14:textId="0CF117C6" w:rsidR="009B7950" w:rsidRPr="00772247" w:rsidRDefault="00B73000" w:rsidP="00772247">
      <w:pPr>
        <w:rPr>
          <w:rFonts w:eastAsia="Times New Roman"/>
          <w:color w:val="000000"/>
        </w:rPr>
      </w:pPr>
      <w:r w:rsidRPr="00772247">
        <w:rPr>
          <w:rFonts w:eastAsia="Times New Roman"/>
          <w:color w:val="000000"/>
        </w:rPr>
        <w:t>4</w:t>
      </w:r>
      <w:r w:rsidR="00A317B4" w:rsidRPr="00772247">
        <w:rPr>
          <w:rFonts w:eastAsia="Times New Roman"/>
          <w:color w:val="000000"/>
        </w:rPr>
        <w:t xml:space="preserve">) </w:t>
      </w:r>
      <w:r w:rsidR="009D2D11" w:rsidRPr="00772247">
        <w:rPr>
          <w:rFonts w:eastAsia="Times New Roman"/>
          <w:color w:val="000000"/>
        </w:rPr>
        <w:t xml:space="preserve"> </w:t>
      </w:r>
      <w:r w:rsidR="00A317B4" w:rsidRPr="00772247">
        <w:rPr>
          <w:rFonts w:eastAsia="Times New Roman"/>
          <w:color w:val="000000"/>
        </w:rPr>
        <w:t xml:space="preserve">The pilot </w:t>
      </w:r>
      <w:r w:rsidR="007A713A" w:rsidRPr="00772247">
        <w:rPr>
          <w:rFonts w:eastAsia="Times New Roman"/>
          <w:color w:val="000000"/>
        </w:rPr>
        <w:t xml:space="preserve">building </w:t>
      </w:r>
      <w:r w:rsidR="00A317B4" w:rsidRPr="00772247">
        <w:rPr>
          <w:rFonts w:eastAsia="Times New Roman"/>
          <w:color w:val="000000"/>
        </w:rPr>
        <w:t xml:space="preserve">is Lincoln Hall </w:t>
      </w:r>
    </w:p>
    <w:p w14:paraId="47C776DA" w14:textId="77777777" w:rsidR="009B7950" w:rsidRPr="00772247" w:rsidRDefault="009B7950" w:rsidP="00772247">
      <w:pPr>
        <w:tabs>
          <w:tab w:val="left" w:pos="1823"/>
        </w:tabs>
        <w:ind w:left="360"/>
      </w:pPr>
      <w:r w:rsidRPr="00772247">
        <w:rPr>
          <w:b/>
          <w:bCs/>
        </w:rPr>
        <w:t>Notable Energy Events:</w:t>
      </w:r>
    </w:p>
    <w:p w14:paraId="4A27540C" w14:textId="77777777" w:rsidR="009B7950" w:rsidRPr="00772247" w:rsidRDefault="009B7950" w:rsidP="00772247">
      <w:pPr>
        <w:numPr>
          <w:ilvl w:val="0"/>
          <w:numId w:val="5"/>
        </w:numPr>
        <w:tabs>
          <w:tab w:val="left" w:pos="1823"/>
        </w:tabs>
      </w:pPr>
      <w:r w:rsidRPr="00772247">
        <w:rPr>
          <w:i/>
          <w:iCs/>
        </w:rPr>
        <w:t xml:space="preserve">FY09 T-12 to T-8 Lighting Retrofit </w:t>
      </w:r>
    </w:p>
    <w:p w14:paraId="61D03BCE" w14:textId="77777777" w:rsidR="009B7950" w:rsidRPr="00772247" w:rsidRDefault="009B7950" w:rsidP="00772247">
      <w:pPr>
        <w:numPr>
          <w:ilvl w:val="0"/>
          <w:numId w:val="5"/>
        </w:numPr>
        <w:tabs>
          <w:tab w:val="left" w:pos="1823"/>
        </w:tabs>
      </w:pPr>
      <w:r w:rsidRPr="00772247">
        <w:rPr>
          <w:i/>
          <w:iCs/>
        </w:rPr>
        <w:t>FY11-12 LEED Platinum Renovation</w:t>
      </w:r>
    </w:p>
    <w:p w14:paraId="0C9339D0" w14:textId="77777777" w:rsidR="009B7950" w:rsidRPr="00772247" w:rsidRDefault="009B7950" w:rsidP="00772247">
      <w:pPr>
        <w:numPr>
          <w:ilvl w:val="0"/>
          <w:numId w:val="5"/>
        </w:numPr>
        <w:tabs>
          <w:tab w:val="left" w:pos="1823"/>
        </w:tabs>
      </w:pPr>
      <w:r w:rsidRPr="00772247">
        <w:rPr>
          <w:i/>
          <w:iCs/>
        </w:rPr>
        <w:t>FY14 Retrocommissioning</w:t>
      </w:r>
    </w:p>
    <w:p w14:paraId="071D8A3A" w14:textId="77777777" w:rsidR="009B7950" w:rsidRPr="00772247" w:rsidRDefault="009B7950" w:rsidP="00772247">
      <w:pPr>
        <w:numPr>
          <w:ilvl w:val="0"/>
          <w:numId w:val="5"/>
        </w:numPr>
        <w:tabs>
          <w:tab w:val="left" w:pos="1823"/>
        </w:tabs>
      </w:pPr>
      <w:r w:rsidRPr="00772247">
        <w:rPr>
          <w:i/>
          <w:iCs/>
        </w:rPr>
        <w:t xml:space="preserve">FY15 ECIP winner </w:t>
      </w:r>
    </w:p>
    <w:p w14:paraId="134C8640" w14:textId="77777777" w:rsidR="009B7950" w:rsidRPr="00772247" w:rsidRDefault="009B7950" w:rsidP="00772247">
      <w:pPr>
        <w:numPr>
          <w:ilvl w:val="0"/>
          <w:numId w:val="5"/>
        </w:numPr>
        <w:tabs>
          <w:tab w:val="left" w:pos="1823"/>
        </w:tabs>
      </w:pPr>
      <w:r w:rsidRPr="00772247">
        <w:rPr>
          <w:i/>
          <w:iCs/>
        </w:rPr>
        <w:t>FY16 Illini Lights Out pilot</w:t>
      </w:r>
    </w:p>
    <w:p w14:paraId="74B8644E" w14:textId="77777777" w:rsidR="00A317B4" w:rsidRPr="00772247" w:rsidRDefault="00A317B4" w:rsidP="00772247">
      <w:pPr>
        <w:rPr>
          <w:rFonts w:eastAsia="Times New Roman"/>
          <w:color w:val="000000"/>
        </w:rPr>
      </w:pPr>
    </w:p>
    <w:p w14:paraId="60ECE8F7" w14:textId="1829D203" w:rsidR="00A317B4" w:rsidRPr="00772247" w:rsidRDefault="00A317B4" w:rsidP="00772247">
      <w:pPr>
        <w:rPr>
          <w:rFonts w:eastAsia="Times New Roman"/>
          <w:color w:val="000000"/>
        </w:rPr>
      </w:pPr>
      <w:r w:rsidRPr="00772247">
        <w:rPr>
          <w:rFonts w:eastAsia="Times New Roman"/>
          <w:color w:val="000000"/>
        </w:rPr>
        <w:t>Electricity, Steam and Chilled water</w:t>
      </w:r>
      <w:r w:rsidR="008316AB" w:rsidRPr="00772247">
        <w:rPr>
          <w:rFonts w:eastAsia="Times New Roman"/>
          <w:color w:val="000000"/>
        </w:rPr>
        <w:t xml:space="preserve"> consumption</w:t>
      </w:r>
      <w:r w:rsidRPr="00772247">
        <w:rPr>
          <w:rFonts w:eastAsia="Times New Roman"/>
          <w:color w:val="000000"/>
        </w:rPr>
        <w:t xml:space="preserve"> of Lincoln Hall</w:t>
      </w:r>
      <w:r w:rsidR="002E5E49" w:rsidRPr="00772247">
        <w:rPr>
          <w:rFonts w:eastAsia="Times New Roman"/>
          <w:color w:val="000000"/>
        </w:rPr>
        <w:t xml:space="preserve"> (July 2015-June 2016)</w:t>
      </w:r>
      <w:r w:rsidRPr="00772247">
        <w:rPr>
          <w:rFonts w:eastAsia="Times New Roman"/>
          <w:color w:val="000000"/>
        </w:rPr>
        <w:t xml:space="preserve"> were used.</w:t>
      </w:r>
    </w:p>
    <w:p w14:paraId="7BB22378" w14:textId="77777777" w:rsidR="000506F8" w:rsidRPr="00772247" w:rsidRDefault="000506F8" w:rsidP="00772247">
      <w:pPr>
        <w:rPr>
          <w:rFonts w:eastAsia="Times New Roman"/>
          <w:color w:val="000000"/>
        </w:rPr>
      </w:pPr>
    </w:p>
    <w:p w14:paraId="7C07A754" w14:textId="488642E9" w:rsidR="000506F8" w:rsidRPr="00772247" w:rsidRDefault="000506F8" w:rsidP="00772247">
      <w:pPr>
        <w:rPr>
          <w:rFonts w:eastAsia="Times New Roman"/>
          <w:color w:val="000000"/>
        </w:rPr>
      </w:pPr>
      <w:r w:rsidRPr="00772247">
        <w:rPr>
          <w:rFonts w:eastAsia="Times New Roman"/>
          <w:color w:val="000000"/>
        </w:rPr>
        <w:t xml:space="preserve">Electricity consumption was converted from </w:t>
      </w:r>
      <w:r w:rsidR="002E5E49" w:rsidRPr="00772247">
        <w:rPr>
          <w:rFonts w:eastAsia="Times New Roman"/>
          <w:color w:val="000000"/>
        </w:rPr>
        <w:t>k</w:t>
      </w:r>
      <w:r w:rsidRPr="00772247">
        <w:rPr>
          <w:rFonts w:eastAsia="Times New Roman"/>
          <w:color w:val="000000"/>
        </w:rPr>
        <w:t>W</w:t>
      </w:r>
      <w:r w:rsidR="002E5E49" w:rsidRPr="00772247">
        <w:rPr>
          <w:rFonts w:eastAsia="Times New Roman"/>
          <w:color w:val="000000"/>
        </w:rPr>
        <w:t>h</w:t>
      </w:r>
      <w:r w:rsidR="00085CB9" w:rsidRPr="00772247">
        <w:rPr>
          <w:rFonts w:eastAsia="Times New Roman"/>
          <w:color w:val="000000"/>
        </w:rPr>
        <w:t xml:space="preserve"> to MMBTU, by multiplying </w:t>
      </w:r>
      <w:r w:rsidR="00DF0623" w:rsidRPr="00772247">
        <w:rPr>
          <w:rFonts w:eastAsia="Times New Roman"/>
          <w:color w:val="000000"/>
        </w:rPr>
        <w:t>k</w:t>
      </w:r>
      <w:r w:rsidR="00085CB9" w:rsidRPr="00772247">
        <w:rPr>
          <w:rFonts w:eastAsia="Times New Roman"/>
          <w:color w:val="000000"/>
        </w:rPr>
        <w:t>W</w:t>
      </w:r>
      <w:r w:rsidR="00DF0623" w:rsidRPr="00772247">
        <w:rPr>
          <w:rFonts w:eastAsia="Times New Roman"/>
          <w:color w:val="000000"/>
        </w:rPr>
        <w:t>h</w:t>
      </w:r>
      <w:r w:rsidR="00085CB9" w:rsidRPr="00772247">
        <w:rPr>
          <w:rFonts w:eastAsia="Times New Roman"/>
          <w:color w:val="000000"/>
        </w:rPr>
        <w:t xml:space="preserve"> by 0.0034;</w:t>
      </w:r>
    </w:p>
    <w:p w14:paraId="4CAB41B8" w14:textId="77777777" w:rsidR="00085CB9" w:rsidRPr="00772247" w:rsidRDefault="00085CB9" w:rsidP="00772247">
      <w:pPr>
        <w:rPr>
          <w:rFonts w:eastAsia="Times New Roman"/>
          <w:color w:val="000000"/>
        </w:rPr>
      </w:pPr>
    </w:p>
    <w:p w14:paraId="61050197" w14:textId="77777777" w:rsidR="00085CB9" w:rsidRPr="00772247" w:rsidRDefault="00085CB9" w:rsidP="00772247">
      <w:pPr>
        <w:rPr>
          <w:rFonts w:eastAsia="Times New Roman"/>
          <w:color w:val="000000"/>
        </w:rPr>
      </w:pPr>
      <w:r w:rsidRPr="00772247">
        <w:rPr>
          <w:rFonts w:eastAsia="Times New Roman"/>
          <w:color w:val="000000"/>
        </w:rPr>
        <w:t xml:space="preserve">Steam consumption was converted from </w:t>
      </w:r>
      <w:r w:rsidR="002E5E49" w:rsidRPr="00772247">
        <w:rPr>
          <w:rFonts w:eastAsia="Times New Roman"/>
          <w:color w:val="000000"/>
        </w:rPr>
        <w:t>klbs</w:t>
      </w:r>
      <w:r w:rsidRPr="00772247">
        <w:rPr>
          <w:rFonts w:eastAsia="Times New Roman"/>
          <w:color w:val="000000"/>
        </w:rPr>
        <w:t xml:space="preserve"> to</w:t>
      </w:r>
      <w:r w:rsidR="00E77632" w:rsidRPr="00772247">
        <w:rPr>
          <w:rFonts w:eastAsia="Times New Roman"/>
          <w:color w:val="000000"/>
        </w:rPr>
        <w:t xml:space="preserve"> MMBTU, by multiplying </w:t>
      </w:r>
      <w:r w:rsidR="002E5E49" w:rsidRPr="00772247">
        <w:rPr>
          <w:rFonts w:eastAsia="Times New Roman"/>
          <w:color w:val="000000"/>
        </w:rPr>
        <w:t xml:space="preserve">klbs </w:t>
      </w:r>
      <w:r w:rsidR="00134F6B" w:rsidRPr="00772247">
        <w:rPr>
          <w:rFonts w:eastAsia="Times New Roman"/>
          <w:color w:val="000000"/>
        </w:rPr>
        <w:t xml:space="preserve">by </w:t>
      </w:r>
      <w:r w:rsidR="00E77632" w:rsidRPr="00772247">
        <w:rPr>
          <w:rFonts w:eastAsia="Times New Roman"/>
          <w:color w:val="000000"/>
        </w:rPr>
        <w:t>1.03</w:t>
      </w:r>
      <w:r w:rsidR="00134F6B" w:rsidRPr="00772247">
        <w:rPr>
          <w:rFonts w:eastAsia="Times New Roman"/>
          <w:color w:val="000000"/>
        </w:rPr>
        <w:t>.</w:t>
      </w:r>
    </w:p>
    <w:p w14:paraId="181ADE37" w14:textId="77777777" w:rsidR="002E5E49" w:rsidRPr="00772247" w:rsidRDefault="002E5E49" w:rsidP="00772247">
      <w:pPr>
        <w:rPr>
          <w:rFonts w:eastAsia="Times New Roman"/>
          <w:b/>
          <w:color w:val="000000"/>
        </w:rPr>
      </w:pPr>
    </w:p>
    <w:p w14:paraId="5179BEBB" w14:textId="65415C6F" w:rsidR="001C2EA9" w:rsidRPr="00772247" w:rsidRDefault="0021710F" w:rsidP="00772247">
      <w:pPr>
        <w:rPr>
          <w:rFonts w:eastAsia="Times New Roman"/>
          <w:b/>
          <w:color w:val="000000"/>
        </w:rPr>
      </w:pPr>
      <w:r w:rsidRPr="00772247">
        <w:rPr>
          <w:rFonts w:eastAsia="Times New Roman"/>
          <w:b/>
          <w:color w:val="000000"/>
        </w:rPr>
        <w:t>Lincoln Hall, energy consumption from July 2015-June 2016</w:t>
      </w:r>
    </w:p>
    <w:p w14:paraId="59CBAE15" w14:textId="77777777" w:rsidR="002E5E49" w:rsidRPr="00772247" w:rsidRDefault="000D3C30" w:rsidP="00772247">
      <w:pPr>
        <w:rPr>
          <w:rFonts w:eastAsia="Times New Roman"/>
          <w:color w:val="000000"/>
        </w:rPr>
      </w:pPr>
      <w:r w:rsidRPr="00772247">
        <w:rPr>
          <w:noProof/>
        </w:rPr>
        <w:drawing>
          <wp:inline distT="0" distB="0" distL="0" distR="0" wp14:anchorId="3CE70B03" wp14:editId="0A2AC08A">
            <wp:extent cx="6414135" cy="3317240"/>
            <wp:effectExtent l="0" t="0" r="12065" b="1016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5E24E1E" w14:textId="12D31E41" w:rsidR="005C1592" w:rsidRPr="00772247" w:rsidRDefault="0021710F" w:rsidP="00772247">
      <w:pPr>
        <w:rPr>
          <w:rFonts w:eastAsia="Times New Roman"/>
          <w:b/>
          <w:color w:val="000000"/>
        </w:rPr>
      </w:pPr>
      <w:r w:rsidRPr="00772247">
        <w:rPr>
          <w:rFonts w:eastAsia="Times New Roman"/>
          <w:b/>
          <w:color w:val="000000"/>
        </w:rPr>
        <w:t>Here we can see the energy consumption of electricity, steam and chilled water, converted to MMBTU</w:t>
      </w:r>
      <w:r w:rsidR="00781671" w:rsidRPr="00772247">
        <w:rPr>
          <w:rFonts w:eastAsia="Times New Roman"/>
          <w:b/>
          <w:color w:val="000000"/>
        </w:rPr>
        <w:t xml:space="preserve"> from July 2015 to June 2016.</w:t>
      </w:r>
    </w:p>
    <w:p w14:paraId="05DBC3B9" w14:textId="77777777" w:rsidR="005C1592" w:rsidRPr="00772247" w:rsidRDefault="005C1592" w:rsidP="00772247">
      <w:pPr>
        <w:rPr>
          <w:rFonts w:eastAsia="Times New Roman"/>
          <w:color w:val="000000"/>
        </w:rPr>
      </w:pPr>
    </w:p>
    <w:p w14:paraId="5AF03632" w14:textId="5C16041D" w:rsidR="005C1592" w:rsidRPr="00772247" w:rsidRDefault="000B5D37" w:rsidP="00772247">
      <w:pPr>
        <w:rPr>
          <w:rFonts w:eastAsia="Times New Roman"/>
          <w:color w:val="000000"/>
        </w:rPr>
      </w:pPr>
      <w:r w:rsidRPr="00772247">
        <w:rPr>
          <w:rFonts w:eastAsia="Times New Roman"/>
          <w:color w:val="000000"/>
        </w:rPr>
        <w:t xml:space="preserve">Then, to get Energy Use Intensity (EUI), </w:t>
      </w:r>
      <w:r w:rsidR="00D55DA8" w:rsidRPr="00772247">
        <w:rPr>
          <w:rFonts w:eastAsia="Times New Roman"/>
          <w:color w:val="000000"/>
        </w:rPr>
        <w:t xml:space="preserve">MMBTU were converted to </w:t>
      </w:r>
      <w:r w:rsidR="003A6D0B" w:rsidRPr="00772247">
        <w:rPr>
          <w:rFonts w:eastAsia="Times New Roman"/>
          <w:color w:val="000000"/>
        </w:rPr>
        <w:t>k</w:t>
      </w:r>
      <w:r w:rsidR="00D55DA8" w:rsidRPr="00772247">
        <w:rPr>
          <w:rFonts w:eastAsia="Times New Roman"/>
          <w:color w:val="000000"/>
        </w:rPr>
        <w:t>B</w:t>
      </w:r>
      <w:r w:rsidR="003A6D0B" w:rsidRPr="00772247">
        <w:rPr>
          <w:rFonts w:eastAsia="Times New Roman"/>
          <w:color w:val="000000"/>
        </w:rPr>
        <w:t>tu</w:t>
      </w:r>
      <w:r w:rsidR="00D55DA8" w:rsidRPr="00772247">
        <w:rPr>
          <w:rFonts w:eastAsia="Times New Roman"/>
          <w:color w:val="000000"/>
        </w:rPr>
        <w:t>/sf.</w:t>
      </w:r>
    </w:p>
    <w:p w14:paraId="4C5BF986" w14:textId="77777777" w:rsidR="00D55DA8" w:rsidRPr="00772247" w:rsidRDefault="00D55DA8" w:rsidP="00772247">
      <w:pPr>
        <w:rPr>
          <w:rFonts w:eastAsia="Times New Roman"/>
          <w:color w:val="000000"/>
        </w:rPr>
      </w:pPr>
    </w:p>
    <w:p w14:paraId="7F806FF4" w14:textId="5E82D4E8" w:rsidR="00D55DA8" w:rsidRPr="00772247" w:rsidRDefault="00D55DA8" w:rsidP="00772247">
      <w:pPr>
        <w:rPr>
          <w:rFonts w:eastAsia="Times New Roman"/>
          <w:color w:val="000000"/>
        </w:rPr>
      </w:pPr>
      <w:r w:rsidRPr="00772247">
        <w:rPr>
          <w:rFonts w:eastAsia="Times New Roman"/>
          <w:color w:val="000000"/>
        </w:rPr>
        <w:t>First</w:t>
      </w:r>
      <w:r w:rsidR="00A56AED" w:rsidRPr="00772247">
        <w:rPr>
          <w:rFonts w:eastAsia="Times New Roman"/>
          <w:color w:val="000000"/>
        </w:rPr>
        <w:t>,</w:t>
      </w:r>
      <w:r w:rsidRPr="00772247">
        <w:rPr>
          <w:rFonts w:eastAsia="Times New Roman"/>
          <w:color w:val="000000"/>
        </w:rPr>
        <w:t xml:space="preserve"> MMBTU were converted to BTU, by multiplying number to 1,000,000.</w:t>
      </w:r>
    </w:p>
    <w:p w14:paraId="078A16F0" w14:textId="77777777" w:rsidR="00B736BC" w:rsidRPr="00772247" w:rsidRDefault="00B736BC" w:rsidP="00772247">
      <w:pPr>
        <w:rPr>
          <w:rFonts w:eastAsia="Times New Roman"/>
          <w:color w:val="000000"/>
        </w:rPr>
      </w:pPr>
    </w:p>
    <w:p w14:paraId="579E9867" w14:textId="7BB01B01" w:rsidR="00B736BC" w:rsidRPr="00772247" w:rsidRDefault="00B736BC" w:rsidP="00772247">
      <w:pPr>
        <w:rPr>
          <w:rFonts w:eastAsia="Times New Roman"/>
          <w:color w:val="000000"/>
        </w:rPr>
      </w:pPr>
      <w:r w:rsidRPr="00772247">
        <w:rPr>
          <w:rFonts w:eastAsia="Times New Roman"/>
          <w:color w:val="000000"/>
        </w:rPr>
        <w:t>FY 2008-2016 Energy Consumption Report was used to get number of MMBTU per each buildings.</w:t>
      </w:r>
    </w:p>
    <w:p w14:paraId="13A82D1E" w14:textId="77777777" w:rsidR="00D55DA8" w:rsidRPr="00772247" w:rsidRDefault="00D55DA8" w:rsidP="00772247">
      <w:pPr>
        <w:rPr>
          <w:rFonts w:eastAsia="Times New Roman"/>
          <w:color w:val="000000"/>
        </w:rPr>
      </w:pPr>
    </w:p>
    <w:p w14:paraId="35D788D4" w14:textId="24F9A097" w:rsidR="000B219C" w:rsidRPr="00772247" w:rsidRDefault="00642A91" w:rsidP="00772247">
      <w:r w:rsidRPr="00772247">
        <w:t>The hard-copy message may look like this:</w:t>
      </w:r>
    </w:p>
    <w:p w14:paraId="28A8F7F2" w14:textId="77777777" w:rsidR="005341B4" w:rsidRPr="00772247" w:rsidRDefault="0094730A" w:rsidP="00772247">
      <w:r w:rsidRPr="00772247">
        <w:rPr>
          <w:noProof/>
        </w:rPr>
        <w:drawing>
          <wp:inline distT="0" distB="0" distL="0" distR="0" wp14:anchorId="44E92662" wp14:editId="3F724E13">
            <wp:extent cx="6372564" cy="3572591"/>
            <wp:effectExtent l="0" t="0" r="3175" b="8890"/>
            <wp:docPr id="1" name="Picture 1" descr="Screen%20Shot%202017-04-13%20at%207.08.01%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7-04-13%20at%207.08.01%20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82383" cy="3578095"/>
                    </a:xfrm>
                    <a:prstGeom prst="rect">
                      <a:avLst/>
                    </a:prstGeom>
                    <a:noFill/>
                    <a:ln>
                      <a:noFill/>
                    </a:ln>
                  </pic:spPr>
                </pic:pic>
              </a:graphicData>
            </a:graphic>
          </wp:inline>
        </w:drawing>
      </w:r>
    </w:p>
    <w:p w14:paraId="753CCAF7" w14:textId="77777777" w:rsidR="00857201" w:rsidRPr="00772247" w:rsidRDefault="00857201" w:rsidP="00772247"/>
    <w:p w14:paraId="336C99D9" w14:textId="77777777" w:rsidR="00642A91" w:rsidRPr="00772247" w:rsidRDefault="00642A91" w:rsidP="00772247"/>
    <w:p w14:paraId="6856E4D5" w14:textId="77777777" w:rsidR="00642A91" w:rsidRPr="00772247" w:rsidRDefault="00642A91" w:rsidP="00772247"/>
    <w:p w14:paraId="6895B8C3" w14:textId="40058FCE" w:rsidR="00642A91" w:rsidRPr="00772247" w:rsidRDefault="00DD2DD0" w:rsidP="00772247">
      <w:r w:rsidRPr="00772247">
        <w:t>Then, using the information for energy consumption, the 2 graphs were created: total energy use by year and EUI by year:</w:t>
      </w:r>
    </w:p>
    <w:p w14:paraId="6298C4CD" w14:textId="77777777" w:rsidR="00153444" w:rsidRPr="00772247" w:rsidRDefault="00153444" w:rsidP="00772247">
      <w:pPr>
        <w:rPr>
          <w:rFonts w:eastAsia="Times New Roman"/>
          <w:color w:val="000000"/>
        </w:rPr>
      </w:pPr>
    </w:p>
    <w:p w14:paraId="78246B58" w14:textId="64972AAF" w:rsidR="00153444" w:rsidRPr="00772247" w:rsidRDefault="00153444" w:rsidP="00772247">
      <w:pPr>
        <w:rPr>
          <w:rFonts w:eastAsia="Times New Roman"/>
          <w:color w:val="000000"/>
        </w:rPr>
      </w:pPr>
      <w:r w:rsidRPr="00772247">
        <w:rPr>
          <w:rFonts w:eastAsia="Times New Roman"/>
          <w:color w:val="000000"/>
        </w:rPr>
        <w:t>It is important to note that from 2008 to 2012, gross square footage was 171,121 sf, and at 2013 it became 175,848 sf.</w:t>
      </w:r>
    </w:p>
    <w:p w14:paraId="70B08895" w14:textId="7A16D551" w:rsidR="00CA5801" w:rsidRPr="00772247" w:rsidRDefault="00CA5801" w:rsidP="00772247">
      <w:pPr>
        <w:rPr>
          <w:rFonts w:eastAsia="Times New Roman"/>
          <w:b/>
          <w:color w:val="000000"/>
        </w:rPr>
      </w:pPr>
    </w:p>
    <w:p w14:paraId="52DDF492" w14:textId="77777777" w:rsidR="00642A91" w:rsidRPr="00772247" w:rsidRDefault="00642A91" w:rsidP="00772247"/>
    <w:p w14:paraId="27FC55D0" w14:textId="2A2A26AE" w:rsidR="00642A91" w:rsidRPr="00772247" w:rsidRDefault="00CA5801" w:rsidP="00772247">
      <w:r w:rsidRPr="00772247">
        <w:rPr>
          <w:rFonts w:eastAsia="Times New Roman"/>
          <w:b/>
          <w:color w:val="000000"/>
        </w:rPr>
        <w:t xml:space="preserve">Lincoln Hall, total energy use be year </w:t>
      </w:r>
    </w:p>
    <w:p w14:paraId="09041DAE" w14:textId="55EF2BB4" w:rsidR="00857201" w:rsidRPr="00772247" w:rsidRDefault="005D505B" w:rsidP="00772247">
      <w:r w:rsidRPr="00772247">
        <w:rPr>
          <w:noProof/>
        </w:rPr>
        <w:drawing>
          <wp:inline distT="0" distB="0" distL="0" distR="0" wp14:anchorId="536C8DA7" wp14:editId="0C9646CF">
            <wp:extent cx="5728335" cy="2220352"/>
            <wp:effectExtent l="0" t="0" r="12065"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B04BBE4" w14:textId="50BFCB94" w:rsidR="00AE5982" w:rsidRPr="00772247" w:rsidRDefault="00CA5801" w:rsidP="00772247">
      <w:pPr>
        <w:tabs>
          <w:tab w:val="left" w:pos="1823"/>
        </w:tabs>
      </w:pPr>
      <w:r w:rsidRPr="00772247">
        <w:rPr>
          <w:rFonts w:eastAsia="Times New Roman"/>
          <w:b/>
          <w:color w:val="000000"/>
        </w:rPr>
        <w:t>Here we can see the total energy use by year from 2008 to 2016 in MMBTU</w:t>
      </w:r>
      <w:r w:rsidR="00834D0F" w:rsidRPr="00772247">
        <w:rPr>
          <w:b/>
        </w:rPr>
        <w:t xml:space="preserve"> at Lincoln Hall</w:t>
      </w:r>
      <w:r w:rsidR="005E4E39" w:rsidRPr="00772247">
        <w:rPr>
          <w:b/>
        </w:rPr>
        <w:t>. 2013 is a new baseline.</w:t>
      </w:r>
    </w:p>
    <w:p w14:paraId="68F1BA50" w14:textId="1EECD360" w:rsidR="00C50F0B" w:rsidRPr="00772247" w:rsidRDefault="00C50F0B" w:rsidP="00772247">
      <w:pPr>
        <w:tabs>
          <w:tab w:val="left" w:pos="1823"/>
        </w:tabs>
      </w:pPr>
      <w:r w:rsidRPr="00772247">
        <w:t>Calculate the specific iCAP goal for this building.</w:t>
      </w:r>
    </w:p>
    <w:p w14:paraId="1C858F31" w14:textId="77777777" w:rsidR="00C50F0B" w:rsidRPr="00772247" w:rsidRDefault="00C50F0B" w:rsidP="00772247">
      <w:pPr>
        <w:tabs>
          <w:tab w:val="left" w:pos="1823"/>
        </w:tabs>
      </w:pPr>
    </w:p>
    <w:p w14:paraId="0FA90787" w14:textId="77777777" w:rsidR="00AE5982" w:rsidRPr="00772247" w:rsidRDefault="00AE5982" w:rsidP="00772247">
      <w:pPr>
        <w:tabs>
          <w:tab w:val="left" w:pos="1823"/>
        </w:tabs>
      </w:pPr>
      <w:r w:rsidRPr="00772247">
        <w:t>iCAP Objective Status:</w:t>
      </w:r>
    </w:p>
    <w:p w14:paraId="62927685" w14:textId="77777777" w:rsidR="003D13AA" w:rsidRPr="00772247" w:rsidRDefault="001A74BE" w:rsidP="00772247">
      <w:pPr>
        <w:numPr>
          <w:ilvl w:val="0"/>
          <w:numId w:val="6"/>
        </w:numPr>
        <w:tabs>
          <w:tab w:val="left" w:pos="1823"/>
        </w:tabs>
      </w:pPr>
      <w:r w:rsidRPr="00772247">
        <w:t>FY20 reduce consumption from FY08 baseline by 30%</w:t>
      </w:r>
    </w:p>
    <w:p w14:paraId="27D9BA2A" w14:textId="77777777" w:rsidR="003D13AA" w:rsidRPr="00772247" w:rsidRDefault="001A74BE" w:rsidP="00772247">
      <w:pPr>
        <w:numPr>
          <w:ilvl w:val="0"/>
          <w:numId w:val="6"/>
        </w:numPr>
        <w:tabs>
          <w:tab w:val="left" w:pos="1823"/>
        </w:tabs>
      </w:pPr>
      <w:r w:rsidRPr="00772247">
        <w:t>FY08 actual = 12,695 MMBTU</w:t>
      </w:r>
    </w:p>
    <w:p w14:paraId="66C79BAC" w14:textId="77777777" w:rsidR="003D13AA" w:rsidRPr="00772247" w:rsidRDefault="001A74BE" w:rsidP="00772247">
      <w:pPr>
        <w:numPr>
          <w:ilvl w:val="0"/>
          <w:numId w:val="6"/>
        </w:numPr>
        <w:tabs>
          <w:tab w:val="left" w:pos="1823"/>
        </w:tabs>
      </w:pPr>
      <w:r w:rsidRPr="00772247">
        <w:t>FY20 goal = 8,887 MMBTU</w:t>
      </w:r>
    </w:p>
    <w:p w14:paraId="12ABFB17" w14:textId="77777777" w:rsidR="003D13AA" w:rsidRPr="00772247" w:rsidRDefault="001A74BE" w:rsidP="00772247">
      <w:pPr>
        <w:numPr>
          <w:ilvl w:val="0"/>
          <w:numId w:val="6"/>
        </w:numPr>
        <w:tabs>
          <w:tab w:val="left" w:pos="1823"/>
        </w:tabs>
      </w:pPr>
      <w:r w:rsidRPr="00772247">
        <w:t>FY16 actual = 14,066 MMBTU</w:t>
      </w:r>
    </w:p>
    <w:p w14:paraId="6ACC6085" w14:textId="77777777" w:rsidR="003D13AA" w:rsidRPr="00772247" w:rsidRDefault="001A74BE" w:rsidP="00772247">
      <w:pPr>
        <w:numPr>
          <w:ilvl w:val="0"/>
          <w:numId w:val="6"/>
        </w:numPr>
        <w:tabs>
          <w:tab w:val="left" w:pos="1823"/>
        </w:tabs>
      </w:pPr>
      <w:r w:rsidRPr="00772247">
        <w:t>Change from FY08 to FY16 = INCREASED by 10.8%</w:t>
      </w:r>
    </w:p>
    <w:p w14:paraId="3D9FACE0" w14:textId="77777777" w:rsidR="003D13AA" w:rsidRPr="00772247" w:rsidRDefault="001A74BE" w:rsidP="00772247">
      <w:pPr>
        <w:numPr>
          <w:ilvl w:val="0"/>
          <w:numId w:val="6"/>
        </w:numPr>
        <w:tabs>
          <w:tab w:val="left" w:pos="1823"/>
        </w:tabs>
      </w:pPr>
      <w:r w:rsidRPr="00772247">
        <w:t>FY08, FY20, and FY16 for EUI:</w:t>
      </w:r>
    </w:p>
    <w:p w14:paraId="31B7F035" w14:textId="77777777" w:rsidR="003D13AA" w:rsidRPr="00772247" w:rsidRDefault="001A74BE" w:rsidP="00772247">
      <w:pPr>
        <w:numPr>
          <w:ilvl w:val="0"/>
          <w:numId w:val="6"/>
        </w:numPr>
        <w:tabs>
          <w:tab w:val="left" w:pos="1823"/>
        </w:tabs>
      </w:pPr>
      <w:r w:rsidRPr="00772247">
        <w:t>FY08 actual EUI = 74,187 BTU/GSF</w:t>
      </w:r>
    </w:p>
    <w:p w14:paraId="7886EB21" w14:textId="77777777" w:rsidR="003D13AA" w:rsidRPr="00772247" w:rsidRDefault="001A74BE" w:rsidP="00772247">
      <w:pPr>
        <w:numPr>
          <w:ilvl w:val="0"/>
          <w:numId w:val="6"/>
        </w:numPr>
        <w:tabs>
          <w:tab w:val="left" w:pos="1823"/>
        </w:tabs>
      </w:pPr>
      <w:r w:rsidRPr="00772247">
        <w:t>FY16 actual EUI = 79,990 BTU/GSF</w:t>
      </w:r>
    </w:p>
    <w:p w14:paraId="6AF754EF" w14:textId="77777777" w:rsidR="003D13AA" w:rsidRPr="00772247" w:rsidRDefault="001A74BE" w:rsidP="00772247">
      <w:pPr>
        <w:numPr>
          <w:ilvl w:val="0"/>
          <w:numId w:val="6"/>
        </w:numPr>
        <w:tabs>
          <w:tab w:val="left" w:pos="1823"/>
        </w:tabs>
      </w:pPr>
      <w:r w:rsidRPr="00772247">
        <w:t xml:space="preserve">Change from FY08 to FY16 = </w:t>
      </w:r>
      <w:r w:rsidRPr="00772247">
        <w:rPr>
          <w:b/>
          <w:bCs/>
        </w:rPr>
        <w:t>INCREASED</w:t>
      </w:r>
      <w:r w:rsidRPr="00772247">
        <w:t xml:space="preserve"> by 7.8%</w:t>
      </w:r>
    </w:p>
    <w:p w14:paraId="484781C5" w14:textId="7EAA27AD" w:rsidR="00F44068" w:rsidRPr="00772247" w:rsidRDefault="001A74BE" w:rsidP="00772247">
      <w:pPr>
        <w:numPr>
          <w:ilvl w:val="0"/>
          <w:numId w:val="6"/>
        </w:numPr>
        <w:tabs>
          <w:tab w:val="left" w:pos="1823"/>
        </w:tabs>
      </w:pPr>
      <w:r w:rsidRPr="00772247">
        <w:t>FY20 goal in EUI = 51,931 BTU/GSF = 9,132 MMBTU</w:t>
      </w:r>
    </w:p>
    <w:p w14:paraId="065C1C9F" w14:textId="77777777" w:rsidR="00F44068" w:rsidRPr="00772247" w:rsidRDefault="00F44068" w:rsidP="00772247">
      <w:pPr>
        <w:tabs>
          <w:tab w:val="left" w:pos="1823"/>
        </w:tabs>
        <w:ind w:left="360"/>
      </w:pPr>
    </w:p>
    <w:p w14:paraId="16C2B3B1" w14:textId="46743C0E" w:rsidR="00F44068" w:rsidRPr="00772247" w:rsidRDefault="00F44068" w:rsidP="00772247">
      <w:pPr>
        <w:tabs>
          <w:tab w:val="left" w:pos="1823"/>
        </w:tabs>
        <w:ind w:left="360"/>
        <w:rPr>
          <w:b/>
        </w:rPr>
      </w:pPr>
      <w:r w:rsidRPr="00772247">
        <w:rPr>
          <w:b/>
        </w:rPr>
        <w:t xml:space="preserve">EUI by year (BTU/GSF) in Lincoln Hall </w:t>
      </w:r>
    </w:p>
    <w:p w14:paraId="09851940" w14:textId="77777777" w:rsidR="00AE5982" w:rsidRPr="00772247" w:rsidRDefault="00AE5982" w:rsidP="00772247">
      <w:pPr>
        <w:tabs>
          <w:tab w:val="left" w:pos="1823"/>
        </w:tabs>
      </w:pPr>
      <w:r w:rsidRPr="00772247">
        <w:rPr>
          <w:noProof/>
        </w:rPr>
        <w:drawing>
          <wp:inline distT="0" distB="0" distL="0" distR="0" wp14:anchorId="29990F77" wp14:editId="43C5D644">
            <wp:extent cx="6185535" cy="3202940"/>
            <wp:effectExtent l="0" t="0" r="12065"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EA96A15" w14:textId="3B53B62C" w:rsidR="00151DF5" w:rsidRPr="00772247" w:rsidRDefault="00B80580" w:rsidP="00772247">
      <w:pPr>
        <w:tabs>
          <w:tab w:val="left" w:pos="1823"/>
        </w:tabs>
        <w:rPr>
          <w:b/>
        </w:rPr>
      </w:pPr>
      <w:r w:rsidRPr="00772247">
        <w:rPr>
          <w:b/>
        </w:rPr>
        <w:t>Here we can see the difference of EUI by year in BTU/GSF from 2008 until 2016 in Lincoln Hall</w:t>
      </w:r>
    </w:p>
    <w:p w14:paraId="6AB814D2" w14:textId="77777777" w:rsidR="00151DF5" w:rsidRPr="00772247" w:rsidRDefault="00151DF5" w:rsidP="00772247">
      <w:pPr>
        <w:tabs>
          <w:tab w:val="left" w:pos="1823"/>
        </w:tabs>
        <w:ind w:left="360"/>
      </w:pPr>
    </w:p>
    <w:p w14:paraId="3303A291" w14:textId="4B10841F" w:rsidR="00B915D5" w:rsidRPr="00772247" w:rsidRDefault="0029068E" w:rsidP="00772247">
      <w:pPr>
        <w:tabs>
          <w:tab w:val="left" w:pos="1823"/>
        </w:tabs>
        <w:jc w:val="both"/>
      </w:pPr>
      <w:r w:rsidRPr="00772247">
        <w:t>5</w:t>
      </w:r>
      <w:r w:rsidR="008208FD" w:rsidRPr="00772247">
        <w:t xml:space="preserve">) </w:t>
      </w:r>
      <w:r w:rsidR="00B915D5" w:rsidRPr="00772247">
        <w:t xml:space="preserve">After Lincoln Hall, the work started with the </w:t>
      </w:r>
      <w:r w:rsidR="005B1910" w:rsidRPr="00772247">
        <w:t>Soybean National Laboratory and Illini Union</w:t>
      </w:r>
    </w:p>
    <w:p w14:paraId="363E7011" w14:textId="77777777" w:rsidR="00F71CC0" w:rsidRPr="00772247" w:rsidRDefault="00F71CC0" w:rsidP="00772247">
      <w:pPr>
        <w:tabs>
          <w:tab w:val="left" w:pos="1823"/>
        </w:tabs>
        <w:jc w:val="both"/>
      </w:pPr>
    </w:p>
    <w:p w14:paraId="1A40C8AE" w14:textId="77777777" w:rsidR="00490874" w:rsidRPr="00772247" w:rsidRDefault="00490874" w:rsidP="00772247">
      <w:pPr>
        <w:tabs>
          <w:tab w:val="left" w:pos="1823"/>
        </w:tabs>
        <w:jc w:val="both"/>
      </w:pPr>
    </w:p>
    <w:p w14:paraId="5F5F2EFA" w14:textId="77777777" w:rsidR="00C37593" w:rsidRPr="00772247" w:rsidRDefault="00C37593" w:rsidP="00772247">
      <w:pPr>
        <w:tabs>
          <w:tab w:val="left" w:pos="1823"/>
        </w:tabs>
        <w:jc w:val="both"/>
      </w:pPr>
    </w:p>
    <w:p w14:paraId="619A2108" w14:textId="77777777" w:rsidR="00C37593" w:rsidRPr="00772247" w:rsidRDefault="00C37593" w:rsidP="00772247">
      <w:pPr>
        <w:tabs>
          <w:tab w:val="left" w:pos="1823"/>
        </w:tabs>
        <w:jc w:val="both"/>
      </w:pPr>
    </w:p>
    <w:p w14:paraId="70F2258A" w14:textId="77777777" w:rsidR="00C37593" w:rsidRPr="00772247" w:rsidRDefault="00C37593" w:rsidP="00772247">
      <w:pPr>
        <w:tabs>
          <w:tab w:val="left" w:pos="1823"/>
        </w:tabs>
        <w:jc w:val="both"/>
      </w:pPr>
    </w:p>
    <w:p w14:paraId="14972615" w14:textId="77777777" w:rsidR="00C37593" w:rsidRPr="00772247" w:rsidRDefault="00C37593" w:rsidP="00772247">
      <w:pPr>
        <w:tabs>
          <w:tab w:val="left" w:pos="1823"/>
        </w:tabs>
        <w:jc w:val="both"/>
      </w:pPr>
    </w:p>
    <w:p w14:paraId="059CAC5B" w14:textId="77777777" w:rsidR="00C37593" w:rsidRPr="00772247" w:rsidRDefault="00C37593" w:rsidP="00772247">
      <w:pPr>
        <w:tabs>
          <w:tab w:val="left" w:pos="1823"/>
        </w:tabs>
        <w:jc w:val="both"/>
      </w:pPr>
    </w:p>
    <w:p w14:paraId="668CBF6D" w14:textId="77777777" w:rsidR="00C37593" w:rsidRPr="00772247" w:rsidRDefault="00C37593" w:rsidP="00772247">
      <w:pPr>
        <w:tabs>
          <w:tab w:val="left" w:pos="1823"/>
        </w:tabs>
        <w:jc w:val="both"/>
      </w:pPr>
    </w:p>
    <w:p w14:paraId="425F8192" w14:textId="77777777" w:rsidR="00490874" w:rsidRPr="00772247" w:rsidRDefault="00490874" w:rsidP="00772247">
      <w:pPr>
        <w:tabs>
          <w:tab w:val="left" w:pos="1823"/>
        </w:tabs>
        <w:jc w:val="both"/>
      </w:pPr>
    </w:p>
    <w:p w14:paraId="64FA8704" w14:textId="77777777" w:rsidR="00490874" w:rsidRPr="00772247" w:rsidRDefault="00490874" w:rsidP="00772247">
      <w:pPr>
        <w:tabs>
          <w:tab w:val="left" w:pos="1823"/>
        </w:tabs>
        <w:jc w:val="both"/>
      </w:pPr>
    </w:p>
    <w:p w14:paraId="2A5ACA78" w14:textId="1D1AFB68" w:rsidR="00490874" w:rsidRPr="00772247" w:rsidRDefault="0091559D" w:rsidP="00772247">
      <w:r w:rsidRPr="00772247">
        <w:rPr>
          <w:rFonts w:eastAsia="Times New Roman"/>
          <w:b/>
          <w:color w:val="000000"/>
        </w:rPr>
        <w:t>EUI of 4 buildings-started</w:t>
      </w:r>
      <w:r w:rsidR="00A12EE7" w:rsidRPr="00772247">
        <w:rPr>
          <w:rFonts w:eastAsia="Times New Roman"/>
          <w:b/>
          <w:color w:val="000000"/>
        </w:rPr>
        <w:t xml:space="preserve"> </w:t>
      </w:r>
    </w:p>
    <w:p w14:paraId="2D806C32" w14:textId="77777777" w:rsidR="00151DF5" w:rsidRPr="00772247" w:rsidRDefault="00151DF5" w:rsidP="00772247">
      <w:pPr>
        <w:tabs>
          <w:tab w:val="left" w:pos="1823"/>
        </w:tabs>
        <w:ind w:left="360"/>
      </w:pPr>
    </w:p>
    <w:p w14:paraId="32C373A3" w14:textId="77777777" w:rsidR="00151DF5" w:rsidRPr="00772247" w:rsidRDefault="003E5D4E" w:rsidP="00772247">
      <w:pPr>
        <w:tabs>
          <w:tab w:val="left" w:pos="1823"/>
        </w:tabs>
      </w:pPr>
      <w:r w:rsidRPr="00772247">
        <w:rPr>
          <w:noProof/>
        </w:rPr>
        <w:drawing>
          <wp:inline distT="0" distB="0" distL="0" distR="0" wp14:anchorId="584D3950" wp14:editId="340912F8">
            <wp:extent cx="5728335" cy="1738657"/>
            <wp:effectExtent l="0" t="0" r="12065" b="1397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7FAAF1A" w14:textId="5768239E" w:rsidR="004C525E" w:rsidRPr="00772247" w:rsidRDefault="004C525E" w:rsidP="00772247">
      <w:pPr>
        <w:tabs>
          <w:tab w:val="left" w:pos="1823"/>
        </w:tabs>
        <w:rPr>
          <w:b/>
        </w:rPr>
      </w:pPr>
      <w:r w:rsidRPr="00772247">
        <w:rPr>
          <w:b/>
        </w:rPr>
        <w:t xml:space="preserve">Here we can see the slight difference in total </w:t>
      </w:r>
      <w:r w:rsidR="00030959" w:rsidRPr="00772247">
        <w:rPr>
          <w:b/>
        </w:rPr>
        <w:t xml:space="preserve">energy use by year in </w:t>
      </w:r>
      <w:r w:rsidRPr="00772247">
        <w:rPr>
          <w:b/>
        </w:rPr>
        <w:t>MMBTU at Soybean National Laboratory from 2008 until 2016</w:t>
      </w:r>
    </w:p>
    <w:p w14:paraId="0F37F3E8" w14:textId="77777777" w:rsidR="003E5D4E" w:rsidRPr="00772247" w:rsidRDefault="003E5D4E" w:rsidP="00772247">
      <w:pPr>
        <w:tabs>
          <w:tab w:val="left" w:pos="1823"/>
        </w:tabs>
      </w:pPr>
    </w:p>
    <w:p w14:paraId="7094CDE4" w14:textId="77777777" w:rsidR="00151DF5" w:rsidRPr="00772247" w:rsidRDefault="003E5D4E" w:rsidP="00772247">
      <w:pPr>
        <w:tabs>
          <w:tab w:val="left" w:pos="1823"/>
        </w:tabs>
      </w:pPr>
      <w:r w:rsidRPr="00772247">
        <w:rPr>
          <w:noProof/>
        </w:rPr>
        <w:drawing>
          <wp:inline distT="0" distB="0" distL="0" distR="0" wp14:anchorId="0228A92A" wp14:editId="2EC340BE">
            <wp:extent cx="3518535" cy="708168"/>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89793" cy="722510"/>
                    </a:xfrm>
                    <a:prstGeom prst="rect">
                      <a:avLst/>
                    </a:prstGeom>
                    <a:noFill/>
                    <a:ln>
                      <a:noFill/>
                    </a:ln>
                  </pic:spPr>
                </pic:pic>
              </a:graphicData>
            </a:graphic>
          </wp:inline>
        </w:drawing>
      </w:r>
    </w:p>
    <w:p w14:paraId="17AB9007" w14:textId="77777777" w:rsidR="00151DF5" w:rsidRPr="00772247" w:rsidRDefault="00151DF5" w:rsidP="00772247">
      <w:pPr>
        <w:tabs>
          <w:tab w:val="left" w:pos="1823"/>
        </w:tabs>
        <w:ind w:left="360"/>
      </w:pPr>
    </w:p>
    <w:p w14:paraId="2BC11B1C" w14:textId="77777777" w:rsidR="00151DF5" w:rsidRPr="00772247" w:rsidRDefault="00151DF5" w:rsidP="00772247">
      <w:pPr>
        <w:tabs>
          <w:tab w:val="left" w:pos="1823"/>
        </w:tabs>
        <w:ind w:left="360"/>
      </w:pPr>
    </w:p>
    <w:p w14:paraId="06AE099F" w14:textId="77777777" w:rsidR="003E5D4E" w:rsidRPr="00772247" w:rsidRDefault="003E5D4E" w:rsidP="00772247">
      <w:pPr>
        <w:tabs>
          <w:tab w:val="left" w:pos="1823"/>
        </w:tabs>
        <w:ind w:left="360"/>
      </w:pPr>
    </w:p>
    <w:p w14:paraId="5DB3D1B5" w14:textId="77777777" w:rsidR="003E5D4E" w:rsidRPr="00772247" w:rsidRDefault="003E5D4E" w:rsidP="00772247">
      <w:pPr>
        <w:tabs>
          <w:tab w:val="left" w:pos="1823"/>
        </w:tabs>
        <w:ind w:left="360"/>
      </w:pPr>
      <w:r w:rsidRPr="00772247">
        <w:rPr>
          <w:noProof/>
        </w:rPr>
        <w:drawing>
          <wp:inline distT="0" distB="0" distL="0" distR="0" wp14:anchorId="0D7297A2" wp14:editId="276A420B">
            <wp:extent cx="5037671" cy="2528489"/>
            <wp:effectExtent l="0" t="0" r="17145" b="1206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508931A" w14:textId="0BB926B7" w:rsidR="00535BF7" w:rsidRPr="00772247" w:rsidRDefault="00535BF7" w:rsidP="00772247">
      <w:pPr>
        <w:tabs>
          <w:tab w:val="left" w:pos="1823"/>
        </w:tabs>
        <w:rPr>
          <w:b/>
        </w:rPr>
      </w:pPr>
      <w:r w:rsidRPr="00772247">
        <w:rPr>
          <w:b/>
        </w:rPr>
        <w:t>Here we can see the difference of EUI by year in BTU/GSF from 2008 until 2016 at Soybean National Laboratory</w:t>
      </w:r>
    </w:p>
    <w:p w14:paraId="4AB9D369" w14:textId="77777777" w:rsidR="00535BF7" w:rsidRPr="00772247" w:rsidRDefault="00535BF7" w:rsidP="00772247">
      <w:pPr>
        <w:tabs>
          <w:tab w:val="left" w:pos="1823"/>
        </w:tabs>
        <w:ind w:left="360"/>
      </w:pPr>
    </w:p>
    <w:p w14:paraId="55F0514A" w14:textId="77777777" w:rsidR="00535BF7" w:rsidRPr="00772247" w:rsidRDefault="00535BF7" w:rsidP="00772247">
      <w:pPr>
        <w:tabs>
          <w:tab w:val="left" w:pos="1823"/>
        </w:tabs>
        <w:ind w:left="360"/>
      </w:pPr>
    </w:p>
    <w:p w14:paraId="7F6B5E2B" w14:textId="77777777" w:rsidR="00535BF7" w:rsidRPr="00772247" w:rsidRDefault="00535BF7" w:rsidP="00772247">
      <w:pPr>
        <w:tabs>
          <w:tab w:val="left" w:pos="1823"/>
        </w:tabs>
        <w:ind w:left="360"/>
      </w:pPr>
    </w:p>
    <w:p w14:paraId="5680E864" w14:textId="77777777" w:rsidR="003E5D4E" w:rsidRPr="00772247" w:rsidRDefault="003E5D4E" w:rsidP="00772247">
      <w:pPr>
        <w:tabs>
          <w:tab w:val="left" w:pos="1823"/>
        </w:tabs>
        <w:ind w:left="360"/>
      </w:pPr>
      <w:r w:rsidRPr="00772247">
        <w:rPr>
          <w:noProof/>
        </w:rPr>
        <w:drawing>
          <wp:inline distT="0" distB="0" distL="0" distR="0" wp14:anchorId="48457019" wp14:editId="610CA7A7">
            <wp:extent cx="2904071" cy="91504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21181" cy="920434"/>
                    </a:xfrm>
                    <a:prstGeom prst="rect">
                      <a:avLst/>
                    </a:prstGeom>
                    <a:noFill/>
                    <a:ln>
                      <a:noFill/>
                    </a:ln>
                  </pic:spPr>
                </pic:pic>
              </a:graphicData>
            </a:graphic>
          </wp:inline>
        </w:drawing>
      </w:r>
    </w:p>
    <w:p w14:paraId="2A6023CA" w14:textId="77777777" w:rsidR="003E5D4E" w:rsidRPr="00772247" w:rsidRDefault="003E5D4E" w:rsidP="00772247">
      <w:pPr>
        <w:tabs>
          <w:tab w:val="left" w:pos="1823"/>
        </w:tabs>
        <w:ind w:left="360"/>
      </w:pPr>
    </w:p>
    <w:p w14:paraId="4549BF98" w14:textId="77777777" w:rsidR="003E5D4E" w:rsidRPr="00772247" w:rsidRDefault="003E5D4E" w:rsidP="00772247">
      <w:pPr>
        <w:tabs>
          <w:tab w:val="left" w:pos="1823"/>
        </w:tabs>
        <w:ind w:left="360"/>
        <w:rPr>
          <w:b/>
        </w:rPr>
      </w:pPr>
    </w:p>
    <w:p w14:paraId="39480170" w14:textId="2D70C35F" w:rsidR="003E5D4E" w:rsidRPr="00772247" w:rsidRDefault="003E5D4E" w:rsidP="00772247">
      <w:pPr>
        <w:tabs>
          <w:tab w:val="left" w:pos="1823"/>
        </w:tabs>
        <w:ind w:left="360"/>
        <w:rPr>
          <w:b/>
        </w:rPr>
      </w:pPr>
      <w:r w:rsidRPr="00772247">
        <w:rPr>
          <w:b/>
        </w:rPr>
        <w:t>ILLINI UNION</w:t>
      </w:r>
    </w:p>
    <w:p w14:paraId="0363BE58" w14:textId="77777777" w:rsidR="00330D0B" w:rsidRPr="00772247" w:rsidRDefault="00330D0B" w:rsidP="00772247">
      <w:pPr>
        <w:tabs>
          <w:tab w:val="left" w:pos="1823"/>
        </w:tabs>
        <w:ind w:left="360"/>
        <w:rPr>
          <w:b/>
        </w:rPr>
      </w:pPr>
    </w:p>
    <w:p w14:paraId="64F58B4A" w14:textId="77777777" w:rsidR="00330D0B" w:rsidRPr="00772247" w:rsidRDefault="00330D0B" w:rsidP="00772247">
      <w:pPr>
        <w:tabs>
          <w:tab w:val="left" w:pos="1823"/>
        </w:tabs>
        <w:ind w:left="360"/>
        <w:rPr>
          <w:b/>
        </w:rPr>
      </w:pPr>
    </w:p>
    <w:p w14:paraId="3AED8F91" w14:textId="25A31FAC" w:rsidR="00330D0B" w:rsidRPr="00772247" w:rsidRDefault="00330D0B" w:rsidP="00772247">
      <w:pPr>
        <w:tabs>
          <w:tab w:val="left" w:pos="1823"/>
        </w:tabs>
        <w:ind w:left="360"/>
        <w:rPr>
          <w:b/>
        </w:rPr>
      </w:pPr>
      <w:r w:rsidRPr="00772247">
        <w:rPr>
          <w:b/>
        </w:rPr>
        <w:t>EUI of 4 buildings-started</w:t>
      </w:r>
      <w:r w:rsidR="00041A50" w:rsidRPr="00772247">
        <w:rPr>
          <w:b/>
        </w:rPr>
        <w:t xml:space="preserve"> </w:t>
      </w:r>
    </w:p>
    <w:p w14:paraId="46A986EA" w14:textId="77777777" w:rsidR="00330D0B" w:rsidRPr="00772247" w:rsidRDefault="00330D0B" w:rsidP="00772247">
      <w:pPr>
        <w:tabs>
          <w:tab w:val="left" w:pos="1823"/>
        </w:tabs>
        <w:ind w:left="360"/>
        <w:rPr>
          <w:b/>
        </w:rPr>
      </w:pPr>
    </w:p>
    <w:p w14:paraId="38EF557B" w14:textId="77777777" w:rsidR="003E5D4E" w:rsidRPr="00772247" w:rsidRDefault="003E5D4E" w:rsidP="00772247">
      <w:pPr>
        <w:tabs>
          <w:tab w:val="left" w:pos="1823"/>
        </w:tabs>
        <w:ind w:left="360"/>
      </w:pPr>
      <w:r w:rsidRPr="00772247">
        <w:rPr>
          <w:noProof/>
        </w:rPr>
        <w:drawing>
          <wp:inline distT="0" distB="0" distL="0" distR="0" wp14:anchorId="79D6DBF6" wp14:editId="6FE4FD73">
            <wp:extent cx="5723471" cy="3149600"/>
            <wp:effectExtent l="0" t="0" r="17145"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6175A06" w14:textId="2F28E8E3" w:rsidR="0006626E" w:rsidRPr="00772247" w:rsidRDefault="0006626E" w:rsidP="00772247">
      <w:pPr>
        <w:tabs>
          <w:tab w:val="left" w:pos="1823"/>
        </w:tabs>
        <w:rPr>
          <w:b/>
        </w:rPr>
      </w:pPr>
      <w:r w:rsidRPr="00772247">
        <w:rPr>
          <w:b/>
        </w:rPr>
        <w:t xml:space="preserve">Here we can see the difference in total energy use by year in MMBTU at </w:t>
      </w:r>
      <w:r w:rsidR="000D7CE4" w:rsidRPr="00772247">
        <w:rPr>
          <w:b/>
        </w:rPr>
        <w:t>Illini Union</w:t>
      </w:r>
      <w:r w:rsidRPr="00772247">
        <w:rPr>
          <w:b/>
        </w:rPr>
        <w:t xml:space="preserve"> from 2008 until 2016</w:t>
      </w:r>
    </w:p>
    <w:p w14:paraId="50AF10CC" w14:textId="77777777" w:rsidR="003E5D4E" w:rsidRPr="00772247" w:rsidRDefault="003E5D4E" w:rsidP="00772247">
      <w:pPr>
        <w:tabs>
          <w:tab w:val="left" w:pos="1823"/>
        </w:tabs>
        <w:ind w:left="360"/>
      </w:pPr>
    </w:p>
    <w:p w14:paraId="67243607" w14:textId="77777777" w:rsidR="003E5D4E" w:rsidRPr="00772247" w:rsidRDefault="003E5D4E" w:rsidP="00772247">
      <w:pPr>
        <w:tabs>
          <w:tab w:val="left" w:pos="1823"/>
        </w:tabs>
        <w:ind w:left="360"/>
      </w:pPr>
    </w:p>
    <w:p w14:paraId="7339952A" w14:textId="77777777" w:rsidR="003E5D4E" w:rsidRPr="00772247" w:rsidRDefault="003E5D4E" w:rsidP="00772247">
      <w:pPr>
        <w:tabs>
          <w:tab w:val="left" w:pos="1823"/>
        </w:tabs>
        <w:ind w:left="360"/>
      </w:pPr>
      <w:r w:rsidRPr="00772247">
        <w:rPr>
          <w:noProof/>
        </w:rPr>
        <w:drawing>
          <wp:inline distT="0" distB="0" distL="0" distR="0" wp14:anchorId="0FB442B5" wp14:editId="4B0C5E71">
            <wp:extent cx="2904071" cy="83656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27063" cy="843188"/>
                    </a:xfrm>
                    <a:prstGeom prst="rect">
                      <a:avLst/>
                    </a:prstGeom>
                    <a:noFill/>
                    <a:ln>
                      <a:noFill/>
                    </a:ln>
                  </pic:spPr>
                </pic:pic>
              </a:graphicData>
            </a:graphic>
          </wp:inline>
        </w:drawing>
      </w:r>
    </w:p>
    <w:p w14:paraId="5A03E99A" w14:textId="77777777" w:rsidR="00F71CC0" w:rsidRPr="00772247" w:rsidRDefault="00F71CC0" w:rsidP="00772247">
      <w:pPr>
        <w:tabs>
          <w:tab w:val="left" w:pos="1823"/>
        </w:tabs>
        <w:ind w:left="360"/>
      </w:pPr>
    </w:p>
    <w:p w14:paraId="031C584F" w14:textId="77777777" w:rsidR="003E5D4E" w:rsidRPr="00772247" w:rsidRDefault="003E5D4E" w:rsidP="00772247">
      <w:pPr>
        <w:tabs>
          <w:tab w:val="left" w:pos="1823"/>
        </w:tabs>
        <w:ind w:left="360"/>
      </w:pPr>
    </w:p>
    <w:p w14:paraId="71747F7A" w14:textId="77777777" w:rsidR="003E5D4E" w:rsidRPr="00772247" w:rsidRDefault="00C33EFD" w:rsidP="00772247">
      <w:pPr>
        <w:tabs>
          <w:tab w:val="left" w:pos="1823"/>
        </w:tabs>
        <w:ind w:left="360"/>
      </w:pPr>
      <w:r w:rsidRPr="00772247">
        <w:rPr>
          <w:noProof/>
        </w:rPr>
        <w:drawing>
          <wp:inline distT="0" distB="0" distL="0" distR="0" wp14:anchorId="077A951F" wp14:editId="04B77146">
            <wp:extent cx="5571071" cy="3149600"/>
            <wp:effectExtent l="0" t="0" r="17145"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EE207EE" w14:textId="2790E789" w:rsidR="00924FE6" w:rsidRPr="00772247" w:rsidRDefault="00924FE6" w:rsidP="00772247">
      <w:pPr>
        <w:tabs>
          <w:tab w:val="left" w:pos="1823"/>
        </w:tabs>
        <w:rPr>
          <w:b/>
        </w:rPr>
      </w:pPr>
      <w:r w:rsidRPr="00772247">
        <w:rPr>
          <w:b/>
        </w:rPr>
        <w:t>Here we can see the difference of EUI by year in BTU/GSF from 2008 until 2016 at Illini Union</w:t>
      </w:r>
    </w:p>
    <w:p w14:paraId="77E61C9B" w14:textId="77777777" w:rsidR="00924FE6" w:rsidRPr="00772247" w:rsidRDefault="00924FE6" w:rsidP="00772247">
      <w:pPr>
        <w:tabs>
          <w:tab w:val="left" w:pos="1823"/>
        </w:tabs>
        <w:ind w:left="360"/>
      </w:pPr>
    </w:p>
    <w:p w14:paraId="51E4501B" w14:textId="77777777" w:rsidR="00924FE6" w:rsidRPr="00772247" w:rsidRDefault="00924FE6" w:rsidP="00772247">
      <w:pPr>
        <w:tabs>
          <w:tab w:val="left" w:pos="1823"/>
        </w:tabs>
        <w:ind w:left="360"/>
      </w:pPr>
    </w:p>
    <w:p w14:paraId="1D4B4EAE" w14:textId="77777777" w:rsidR="00C33EFD" w:rsidRPr="00772247" w:rsidRDefault="00C33EFD" w:rsidP="00772247">
      <w:pPr>
        <w:tabs>
          <w:tab w:val="left" w:pos="1823"/>
        </w:tabs>
        <w:ind w:left="360"/>
      </w:pPr>
      <w:r w:rsidRPr="00772247">
        <w:rPr>
          <w:noProof/>
        </w:rPr>
        <w:drawing>
          <wp:inline distT="0" distB="0" distL="0" distR="0" wp14:anchorId="0C8147F3" wp14:editId="76FD951F">
            <wp:extent cx="3513671" cy="87167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33703" cy="876648"/>
                    </a:xfrm>
                    <a:prstGeom prst="rect">
                      <a:avLst/>
                    </a:prstGeom>
                    <a:noFill/>
                    <a:ln>
                      <a:noFill/>
                    </a:ln>
                  </pic:spPr>
                </pic:pic>
              </a:graphicData>
            </a:graphic>
          </wp:inline>
        </w:drawing>
      </w:r>
    </w:p>
    <w:p w14:paraId="6D162E38" w14:textId="77777777" w:rsidR="003E5D4E" w:rsidRPr="00772247" w:rsidRDefault="003E5D4E" w:rsidP="00772247">
      <w:pPr>
        <w:tabs>
          <w:tab w:val="left" w:pos="1823"/>
        </w:tabs>
        <w:ind w:left="360"/>
      </w:pPr>
    </w:p>
    <w:p w14:paraId="06F7FF5A" w14:textId="77777777" w:rsidR="003E5D4E" w:rsidRPr="00772247" w:rsidRDefault="003E5D4E" w:rsidP="00772247">
      <w:pPr>
        <w:tabs>
          <w:tab w:val="left" w:pos="1823"/>
        </w:tabs>
        <w:ind w:left="360"/>
      </w:pPr>
    </w:p>
    <w:p w14:paraId="677CB692" w14:textId="1CFBD4E6" w:rsidR="001C6697" w:rsidRPr="00772247" w:rsidRDefault="001C6697" w:rsidP="00772247">
      <w:pPr>
        <w:rPr>
          <w:rFonts w:eastAsia="Times New Roman"/>
        </w:rPr>
      </w:pPr>
      <w:r w:rsidRPr="00772247">
        <w:rPr>
          <w:rFonts w:eastAsia="Times New Roman"/>
        </w:rPr>
        <w:t xml:space="preserve">In the iCAP 2015, there is goal of 30% reduction </w:t>
      </w:r>
      <w:r w:rsidR="00937595">
        <w:rPr>
          <w:rFonts w:eastAsia="Times New Roman"/>
        </w:rPr>
        <w:t xml:space="preserve">of energy consumption </w:t>
      </w:r>
      <w:r w:rsidRPr="00772247">
        <w:rPr>
          <w:rFonts w:eastAsia="Times New Roman"/>
        </w:rPr>
        <w:t xml:space="preserve">from a baseline year. Current baseline year is 2008 for most buildings, but Lincoln Hall’s square footage was expanded by the major renovation in 2010.  Using EUI seems like a better and more fair metric rather than total energy consumption. </w:t>
      </w:r>
    </w:p>
    <w:p w14:paraId="3C5D79A7" w14:textId="356E95DE" w:rsidR="001C6697" w:rsidRPr="00772247" w:rsidRDefault="001C6697" w:rsidP="00772247">
      <w:pPr>
        <w:rPr>
          <w:rFonts w:eastAsia="Times New Roman"/>
        </w:rPr>
      </w:pPr>
      <w:r w:rsidRPr="00772247">
        <w:rPr>
          <w:rFonts w:eastAsia="Times New Roman"/>
        </w:rPr>
        <w:t xml:space="preserve">“Gross square footage”- is occupied space total. The goal is comparing changes in one building over time, not comparing buildings to each other. </w:t>
      </w:r>
    </w:p>
    <w:p w14:paraId="3B602D6C" w14:textId="6E783884" w:rsidR="005479BB" w:rsidRPr="00772247" w:rsidRDefault="00AB3C74" w:rsidP="00772247">
      <w:pPr>
        <w:rPr>
          <w:rFonts w:eastAsia="Times New Roman"/>
        </w:rPr>
      </w:pPr>
      <w:r w:rsidRPr="00772247">
        <w:rPr>
          <w:rFonts w:eastAsia="Times New Roman"/>
        </w:rPr>
        <w:t>It was</w:t>
      </w:r>
      <w:r w:rsidR="001C6697" w:rsidRPr="00772247">
        <w:rPr>
          <w:rFonts w:eastAsia="Times New Roman"/>
        </w:rPr>
        <w:t xml:space="preserve"> suggested to set the baseline after the last renovation of the building</w:t>
      </w:r>
      <w:r w:rsidR="008E692A" w:rsidRPr="00772247">
        <w:rPr>
          <w:rFonts w:eastAsia="Times New Roman"/>
        </w:rPr>
        <w:t>, not 2008 year</w:t>
      </w:r>
      <w:r w:rsidR="001C6697" w:rsidRPr="00772247">
        <w:rPr>
          <w:rFonts w:eastAsia="Times New Roman"/>
        </w:rPr>
        <w:t xml:space="preserve">. Lincoln Hall is LEED Certified now and is operating very efficiently.  Further reductions in the energy usage of Lincoln Hall, for example, will mostly have to come from occupant behavior. </w:t>
      </w:r>
    </w:p>
    <w:p w14:paraId="1A01234A" w14:textId="199CB162" w:rsidR="000E26BF" w:rsidRPr="00772247" w:rsidRDefault="000E26BF" w:rsidP="00772247">
      <w:pPr>
        <w:rPr>
          <w:rFonts w:eastAsia="Times New Roman"/>
        </w:rPr>
      </w:pPr>
      <w:r w:rsidRPr="00772247">
        <w:rPr>
          <w:rFonts w:eastAsia="Times New Roman"/>
        </w:rPr>
        <w:t>Using the post-renovation year as the baseline</w:t>
      </w:r>
      <w:r w:rsidR="00823F71" w:rsidRPr="00772247">
        <w:rPr>
          <w:rFonts w:eastAsia="Times New Roman"/>
        </w:rPr>
        <w:t xml:space="preserve"> for Lincoln Hall, the new baseline MMBTU is 38,571 in FY13. The 30% reduction</w:t>
      </w:r>
      <w:bookmarkStart w:id="0" w:name="_GoBack"/>
      <w:bookmarkEnd w:id="0"/>
      <w:r w:rsidR="00823F71" w:rsidRPr="00772247">
        <w:rPr>
          <w:rFonts w:eastAsia="Times New Roman"/>
        </w:rPr>
        <w:t xml:space="preserve"> goal of 11,571 (0.3*38,571) has been met as of FY15.</w:t>
      </w:r>
    </w:p>
    <w:p w14:paraId="730BCD79" w14:textId="4D8E5725" w:rsidR="003E5D4E" w:rsidRPr="00772247" w:rsidRDefault="003E5D4E" w:rsidP="00772247">
      <w:pPr>
        <w:tabs>
          <w:tab w:val="left" w:pos="1823"/>
        </w:tabs>
        <w:ind w:left="360"/>
      </w:pPr>
    </w:p>
    <w:p w14:paraId="26D69A7D" w14:textId="77777777" w:rsidR="003E5D4E" w:rsidRPr="00772247" w:rsidRDefault="003E5D4E" w:rsidP="00772247">
      <w:pPr>
        <w:tabs>
          <w:tab w:val="left" w:pos="1823"/>
        </w:tabs>
        <w:ind w:left="360"/>
      </w:pPr>
    </w:p>
    <w:p w14:paraId="6D86A788" w14:textId="77777777" w:rsidR="00296FCB" w:rsidRPr="00772247" w:rsidRDefault="00296FCB" w:rsidP="00772247">
      <w:pPr>
        <w:tabs>
          <w:tab w:val="left" w:pos="1823"/>
        </w:tabs>
        <w:ind w:left="360"/>
      </w:pPr>
    </w:p>
    <w:p w14:paraId="61D5F17C" w14:textId="77777777" w:rsidR="00296FCB" w:rsidRDefault="00296FCB" w:rsidP="00772247">
      <w:pPr>
        <w:tabs>
          <w:tab w:val="left" w:pos="1823"/>
        </w:tabs>
        <w:ind w:left="360"/>
      </w:pPr>
    </w:p>
    <w:p w14:paraId="1AC23B40" w14:textId="77777777" w:rsidR="00F444C9" w:rsidRDefault="00F444C9" w:rsidP="00772247">
      <w:pPr>
        <w:tabs>
          <w:tab w:val="left" w:pos="1823"/>
        </w:tabs>
        <w:ind w:left="360"/>
      </w:pPr>
    </w:p>
    <w:p w14:paraId="2867D3BA" w14:textId="77777777" w:rsidR="00F444C9" w:rsidRPr="00772247" w:rsidRDefault="00F444C9" w:rsidP="00772247">
      <w:pPr>
        <w:tabs>
          <w:tab w:val="left" w:pos="1823"/>
        </w:tabs>
        <w:ind w:left="360"/>
      </w:pPr>
    </w:p>
    <w:p w14:paraId="679DFD3C" w14:textId="77777777" w:rsidR="00296FCB" w:rsidRPr="00772247" w:rsidRDefault="00296FCB" w:rsidP="00772247">
      <w:pPr>
        <w:tabs>
          <w:tab w:val="left" w:pos="1823"/>
        </w:tabs>
        <w:ind w:left="360"/>
      </w:pPr>
    </w:p>
    <w:p w14:paraId="7504ABCA" w14:textId="77777777" w:rsidR="00EA1157" w:rsidRPr="00772247" w:rsidRDefault="001774E5" w:rsidP="00772247">
      <w:pPr>
        <w:tabs>
          <w:tab w:val="left" w:pos="1823"/>
        </w:tabs>
        <w:ind w:left="360"/>
        <w:rPr>
          <w:b/>
        </w:rPr>
      </w:pPr>
      <w:r w:rsidRPr="00772247">
        <w:rPr>
          <w:b/>
        </w:rPr>
        <w:t>APPENDIX</w:t>
      </w:r>
    </w:p>
    <w:p w14:paraId="4F3F4D5B" w14:textId="77777777" w:rsidR="00EA1157" w:rsidRPr="00772247" w:rsidRDefault="00EA1157" w:rsidP="00772247">
      <w:pPr>
        <w:tabs>
          <w:tab w:val="left" w:pos="1823"/>
        </w:tabs>
        <w:ind w:left="360"/>
      </w:pPr>
    </w:p>
    <w:p w14:paraId="4A878854" w14:textId="77777777" w:rsidR="00EA1157" w:rsidRPr="00772247" w:rsidRDefault="00EA1157" w:rsidP="00772247">
      <w:pPr>
        <w:tabs>
          <w:tab w:val="left" w:pos="1823"/>
        </w:tabs>
        <w:ind w:left="360"/>
      </w:pPr>
    </w:p>
    <w:p w14:paraId="4C85EA69" w14:textId="77777777" w:rsidR="00EA1157" w:rsidRPr="00772247" w:rsidRDefault="00DC6F71" w:rsidP="00772247">
      <w:pPr>
        <w:tabs>
          <w:tab w:val="left" w:pos="1823"/>
        </w:tabs>
      </w:pPr>
      <w:r w:rsidRPr="00772247">
        <w:rPr>
          <w:noProof/>
        </w:rPr>
        <w:drawing>
          <wp:inline distT="0" distB="0" distL="0" distR="0" wp14:anchorId="02F5DD62" wp14:editId="2D3AAC4E">
            <wp:extent cx="5943600" cy="4279900"/>
            <wp:effectExtent l="0" t="0" r="0" b="12700"/>
            <wp:docPr id="20" name="Picture 20" descr="ISEE%20project/Building%20level%20report/energy%20efficiency%20inser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SEE%20project/Building%20level%20report/energy%20efficiency%20insert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279900"/>
                    </a:xfrm>
                    <a:prstGeom prst="rect">
                      <a:avLst/>
                    </a:prstGeom>
                    <a:noFill/>
                    <a:ln>
                      <a:noFill/>
                    </a:ln>
                  </pic:spPr>
                </pic:pic>
              </a:graphicData>
            </a:graphic>
          </wp:inline>
        </w:drawing>
      </w:r>
    </w:p>
    <w:p w14:paraId="487EAD90" w14:textId="77777777" w:rsidR="00C8292C" w:rsidRPr="00772247" w:rsidRDefault="00C8292C" w:rsidP="00772247">
      <w:pPr>
        <w:tabs>
          <w:tab w:val="left" w:pos="1823"/>
        </w:tabs>
      </w:pPr>
      <w:r w:rsidRPr="00772247">
        <w:t>Source : http://caribbeancic.org/energy-efficiency</w:t>
      </w:r>
    </w:p>
    <w:p w14:paraId="3ED54AF9" w14:textId="77777777" w:rsidR="00AE5982" w:rsidRPr="00772247" w:rsidRDefault="00EA1157" w:rsidP="00772247">
      <w:pPr>
        <w:tabs>
          <w:tab w:val="left" w:pos="1823"/>
        </w:tabs>
      </w:pPr>
      <w:r w:rsidRPr="00772247">
        <w:rPr>
          <w:noProof/>
        </w:rPr>
        <w:drawing>
          <wp:inline distT="0" distB="0" distL="0" distR="0" wp14:anchorId="3EF0EC8D" wp14:editId="3BAFC141">
            <wp:extent cx="5934075" cy="7324725"/>
            <wp:effectExtent l="0" t="0" r="9525" b="0"/>
            <wp:docPr id="17" name="Picture 17" descr="ISEE%20project/Building%20level%20report/8f3cdf0ec81a24eaf3a69cee638277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SEE%20project/Building%20level%20report/8f3cdf0ec81a24eaf3a69cee6382773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4075" cy="7324725"/>
                    </a:xfrm>
                    <a:prstGeom prst="rect">
                      <a:avLst/>
                    </a:prstGeom>
                    <a:noFill/>
                    <a:ln>
                      <a:noFill/>
                    </a:ln>
                  </pic:spPr>
                </pic:pic>
              </a:graphicData>
            </a:graphic>
          </wp:inline>
        </w:drawing>
      </w:r>
      <w:r w:rsidRPr="00772247">
        <w:rPr>
          <w:noProof/>
        </w:rPr>
        <w:drawing>
          <wp:inline distT="0" distB="0" distL="0" distR="0" wp14:anchorId="6095A0E5" wp14:editId="674A5990">
            <wp:extent cx="5934075" cy="5067935"/>
            <wp:effectExtent l="0" t="0" r="9525" b="12065"/>
            <wp:docPr id="18" name="Picture 18" descr="ISEE%20project/Building%20level%20report/89cbb7c2dff01eb062c040a1be86b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SEE%20project/Building%20level%20report/89cbb7c2dff01eb062c040a1be86b21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4075" cy="5067935"/>
                    </a:xfrm>
                    <a:prstGeom prst="rect">
                      <a:avLst/>
                    </a:prstGeom>
                    <a:noFill/>
                    <a:ln>
                      <a:noFill/>
                    </a:ln>
                  </pic:spPr>
                </pic:pic>
              </a:graphicData>
            </a:graphic>
          </wp:inline>
        </w:drawing>
      </w:r>
      <w:r w:rsidRPr="00772247">
        <w:rPr>
          <w:noProof/>
        </w:rPr>
        <w:drawing>
          <wp:inline distT="0" distB="0" distL="0" distR="0" wp14:anchorId="2A5AEA7E" wp14:editId="7CE29CF1">
            <wp:extent cx="5486400" cy="8220075"/>
            <wp:effectExtent l="0" t="0" r="0" b="9525"/>
            <wp:docPr id="19" name="Picture 19" descr="ISEE%20project/Building%20level%20report/6382aac301a1009d31f391c5ec96ed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SEE%20project/Building%20level%20report/6382aac301a1009d31f391c5ec96ed7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8220075"/>
                    </a:xfrm>
                    <a:prstGeom prst="rect">
                      <a:avLst/>
                    </a:prstGeom>
                    <a:noFill/>
                    <a:ln>
                      <a:noFill/>
                    </a:ln>
                  </pic:spPr>
                </pic:pic>
              </a:graphicData>
            </a:graphic>
          </wp:inline>
        </w:drawing>
      </w:r>
    </w:p>
    <w:p w14:paraId="17AA0E3F" w14:textId="77777777" w:rsidR="00DC6F71" w:rsidRPr="00772247" w:rsidRDefault="00DC6F71" w:rsidP="00772247">
      <w:pPr>
        <w:tabs>
          <w:tab w:val="left" w:pos="1823"/>
        </w:tabs>
      </w:pPr>
      <w:r w:rsidRPr="00772247">
        <w:rPr>
          <w:noProof/>
        </w:rPr>
        <w:drawing>
          <wp:inline distT="0" distB="0" distL="0" distR="0" wp14:anchorId="1CABBA18" wp14:editId="030EFDF8">
            <wp:extent cx="5749290" cy="8132445"/>
            <wp:effectExtent l="0" t="0" r="0" b="0"/>
            <wp:docPr id="21" name="Picture 21" descr="ISEE%20project/Building%20level%20report/Tang%20Yau%20Ho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SEE%20project/Building%20level%20report/Tang%20Yau%20Hoon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49290" cy="8132445"/>
                    </a:xfrm>
                    <a:prstGeom prst="rect">
                      <a:avLst/>
                    </a:prstGeom>
                    <a:noFill/>
                    <a:ln>
                      <a:noFill/>
                    </a:ln>
                  </pic:spPr>
                </pic:pic>
              </a:graphicData>
            </a:graphic>
          </wp:inline>
        </w:drawing>
      </w:r>
    </w:p>
    <w:sectPr w:rsidR="00DC6F71" w:rsidRPr="00772247" w:rsidSect="0082396C">
      <w:footerReference w:type="even" r:id="rId29"/>
      <w:footerReference w:type="default" r:id="rId30"/>
      <w:pgSz w:w="12240" w:h="15840"/>
      <w:pgMar w:top="1440" w:right="1440" w:bottom="1440" w:left="1440" w:header="720" w:footer="720" w:gutter="0"/>
      <w:cols w:space="720"/>
      <w:noEndnote/>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5E263F" w14:textId="77777777" w:rsidR="00941168" w:rsidRDefault="00941168" w:rsidP="00695CDE">
      <w:r>
        <w:separator/>
      </w:r>
    </w:p>
  </w:endnote>
  <w:endnote w:type="continuationSeparator" w:id="0">
    <w:p w14:paraId="5FCC8B7F" w14:textId="77777777" w:rsidR="00941168" w:rsidRDefault="00941168" w:rsidP="00695C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MS Mincho">
    <w:panose1 w:val="02020609040205080304"/>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3C5E44" w14:textId="77777777" w:rsidR="00C31EE0" w:rsidRDefault="00C31EE0" w:rsidP="0082396C">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8F913C6" w14:textId="77777777" w:rsidR="00C31EE0" w:rsidRDefault="00C31EE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6872FE" w14:textId="77777777" w:rsidR="00C31EE0" w:rsidRDefault="00C31EE0" w:rsidP="0082396C">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41168">
      <w:rPr>
        <w:rStyle w:val="PageNumber"/>
        <w:noProof/>
      </w:rPr>
      <w:t>1</w:t>
    </w:r>
    <w:r>
      <w:rPr>
        <w:rStyle w:val="PageNumber"/>
      </w:rPr>
      <w:fldChar w:fldCharType="end"/>
    </w:r>
  </w:p>
  <w:p w14:paraId="15107875" w14:textId="77777777" w:rsidR="00C31EE0" w:rsidRDefault="00C31EE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8B3C72" w14:textId="77777777" w:rsidR="00941168" w:rsidRDefault="00941168" w:rsidP="00695CDE">
      <w:r>
        <w:separator/>
      </w:r>
    </w:p>
  </w:footnote>
  <w:footnote w:type="continuationSeparator" w:id="0">
    <w:p w14:paraId="0C674342" w14:textId="77777777" w:rsidR="00941168" w:rsidRDefault="00941168" w:rsidP="00695CDE">
      <w:r>
        <w:continuationSeparator/>
      </w:r>
    </w:p>
  </w:footnote>
  <w:footnote w:id="1">
    <w:p w14:paraId="70B07A81" w14:textId="77777777" w:rsidR="00C41144" w:rsidRPr="004A4998" w:rsidRDefault="00C41144" w:rsidP="00C41144">
      <w:pPr>
        <w:rPr>
          <w:rFonts w:eastAsia="Times New Roman"/>
        </w:rPr>
      </w:pPr>
      <w:r>
        <w:rPr>
          <w:rStyle w:val="FootnoteReference"/>
        </w:rPr>
        <w:footnoteRef/>
      </w:r>
      <w:r>
        <w:t xml:space="preserve"> </w:t>
      </w:r>
      <w:r w:rsidRPr="004A4998">
        <w:rPr>
          <w:rFonts w:eastAsia="Times New Roman"/>
        </w:rPr>
        <w:t>Strategies for promoting sustainable behavior regarding electricity consumption</w:t>
      </w:r>
    </w:p>
    <w:p w14:paraId="3D58AB56" w14:textId="77777777" w:rsidR="00C41144" w:rsidRDefault="00C41144" w:rsidP="00C41144">
      <w:pPr>
        <w:pStyle w:val="FootnoteText"/>
      </w:pPr>
      <w:r w:rsidRPr="00BB45A1">
        <w:t>http://www.diva-portal.se/smash/get/diva2:474598/FULLTEXT01.pdf</w:t>
      </w:r>
    </w:p>
  </w:footnote>
  <w:footnote w:id="2">
    <w:p w14:paraId="0DB1E17B" w14:textId="77777777" w:rsidR="00695CDE" w:rsidRDefault="00695CDE" w:rsidP="00695CDE">
      <w:pPr>
        <w:pStyle w:val="FootnoteText"/>
      </w:pPr>
      <w:r>
        <w:rPr>
          <w:rStyle w:val="FootnoteReference"/>
        </w:rPr>
        <w:footnoteRef/>
      </w:r>
      <w:r>
        <w:t xml:space="preserve"> </w:t>
      </w:r>
      <w:r w:rsidRPr="00C40789">
        <w:t>https://www.oecd.org/environment/consumption-innovation/42183878.pdf</w:t>
      </w:r>
    </w:p>
  </w:footnote>
  <w:footnote w:id="3">
    <w:p w14:paraId="7C23D9FC" w14:textId="77777777" w:rsidR="007F06C5" w:rsidRPr="007F06C5" w:rsidRDefault="007F06C5" w:rsidP="007F06C5">
      <w:pPr>
        <w:rPr>
          <w:rFonts w:eastAsia="Times New Roman"/>
        </w:rPr>
      </w:pPr>
      <w:r>
        <w:rPr>
          <w:rStyle w:val="FootnoteReference"/>
        </w:rPr>
        <w:footnoteRef/>
      </w:r>
      <w:r>
        <w:t xml:space="preserve"> </w:t>
      </w:r>
      <w:r w:rsidRPr="007F06C5">
        <w:rPr>
          <w:rFonts w:eastAsia="Times New Roman"/>
        </w:rPr>
        <w:t>OECD (2008), Environmental Policy and Household Behaviour: Evidence in the Areas of Energy, Food, Transport, Waste and Water</w:t>
      </w:r>
    </w:p>
    <w:p w14:paraId="066EA27E" w14:textId="77777777" w:rsidR="007F06C5" w:rsidRDefault="007F06C5">
      <w:pPr>
        <w:pStyle w:val="FootnoteText"/>
      </w:pPr>
    </w:p>
  </w:footnote>
  <w:footnote w:id="4">
    <w:p w14:paraId="5D5C7EAF" w14:textId="77777777" w:rsidR="00695CDE" w:rsidRDefault="00695CDE" w:rsidP="00695CDE">
      <w:pPr>
        <w:pStyle w:val="FootnoteText"/>
      </w:pPr>
      <w:r>
        <w:rPr>
          <w:rStyle w:val="FootnoteReference"/>
        </w:rPr>
        <w:footnoteRef/>
      </w:r>
      <w:r>
        <w:t xml:space="preserve"> </w:t>
      </w:r>
      <w:r w:rsidRPr="00533961">
        <w:t>http://www.oecd.org/greengrowth/40317373.pdf</w:t>
      </w:r>
    </w:p>
  </w:footnote>
  <w:footnote w:id="5">
    <w:p w14:paraId="4074E148" w14:textId="77777777" w:rsidR="00695CDE" w:rsidRDefault="00695CDE" w:rsidP="00695CDE">
      <w:pPr>
        <w:pStyle w:val="FootnoteText"/>
      </w:pPr>
      <w:r>
        <w:rPr>
          <w:rStyle w:val="FootnoteReference"/>
        </w:rPr>
        <w:footnoteRef/>
      </w:r>
      <w:r>
        <w:t xml:space="preserve"> </w:t>
      </w:r>
      <w:hyperlink r:id="rId1" w:history="1">
        <w:r w:rsidRPr="00EE05D2">
          <w:rPr>
            <w:rStyle w:val="Hyperlink"/>
          </w:rPr>
          <w:t>http://sustainability.berkeley.edu/sites/default/files/Promoting_Sustain_Behavior_Primer.pdf</w:t>
        </w:r>
      </w:hyperlink>
    </w:p>
    <w:p w14:paraId="5EF35B99" w14:textId="77777777" w:rsidR="00695CDE" w:rsidRDefault="00695CDE" w:rsidP="00695CDE">
      <w:pPr>
        <w:pStyle w:val="FootnoteText"/>
      </w:pPr>
    </w:p>
  </w:footnote>
  <w:footnote w:id="6">
    <w:p w14:paraId="390DF19F" w14:textId="77777777" w:rsidR="00695CDE" w:rsidRDefault="00695CDE" w:rsidP="00695CDE">
      <w:pPr>
        <w:pStyle w:val="FootnoteText"/>
      </w:pPr>
      <w:r>
        <w:rPr>
          <w:rStyle w:val="FootnoteReference"/>
        </w:rPr>
        <w:footnoteRef/>
      </w:r>
      <w:r>
        <w:t xml:space="preserve"> </w:t>
      </w:r>
      <w:r w:rsidRPr="00794D81">
        <w:t>http://edition.cnn.com/2005/TECH/09/27/spark.rubbish/index.html</w:t>
      </w:r>
    </w:p>
  </w:footnote>
  <w:footnote w:id="7">
    <w:p w14:paraId="66FB2FF5" w14:textId="77777777" w:rsidR="00695CDE" w:rsidRDefault="00695CDE" w:rsidP="00695CDE">
      <w:pPr>
        <w:pStyle w:val="FootnoteText"/>
      </w:pPr>
      <w:r>
        <w:rPr>
          <w:rStyle w:val="FootnoteReference"/>
        </w:rPr>
        <w:footnoteRef/>
      </w:r>
      <w:r>
        <w:t xml:space="preserve"> </w:t>
      </w:r>
      <w:hyperlink r:id="rId2" w:history="1">
        <w:r w:rsidR="00C31EE0" w:rsidRPr="00A81F4E">
          <w:rPr>
            <w:rStyle w:val="Hyperlink"/>
          </w:rPr>
          <w:t>http://www.energysavingtrust.org.uk/blog/can-fun-theory-change-way-we-tackle-energy-use</w:t>
        </w:r>
      </w:hyperlink>
      <w:r w:rsidR="00C31EE0">
        <w:t xml:space="preserve">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D27B08"/>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1A9A3C82"/>
    <w:multiLevelType w:val="hybridMultilevel"/>
    <w:tmpl w:val="BCCA33C4"/>
    <w:lvl w:ilvl="0" w:tplc="8A2083DA">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EA735BD"/>
    <w:multiLevelType w:val="hybridMultilevel"/>
    <w:tmpl w:val="99F03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B66F7A"/>
    <w:multiLevelType w:val="hybridMultilevel"/>
    <w:tmpl w:val="F02AFFB2"/>
    <w:lvl w:ilvl="0" w:tplc="8A2083DA">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B9F21CD"/>
    <w:multiLevelType w:val="hybridMultilevel"/>
    <w:tmpl w:val="E55ED612"/>
    <w:lvl w:ilvl="0" w:tplc="8A2083D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75B13C3"/>
    <w:multiLevelType w:val="hybridMultilevel"/>
    <w:tmpl w:val="BB4E5A16"/>
    <w:lvl w:ilvl="0" w:tplc="8A2083DA">
      <w:start w:val="1"/>
      <w:numFmt w:val="bullet"/>
      <w:lvlText w:val="•"/>
      <w:lvlJc w:val="left"/>
      <w:pPr>
        <w:tabs>
          <w:tab w:val="num" w:pos="720"/>
        </w:tabs>
        <w:ind w:left="720" w:hanging="360"/>
      </w:pPr>
      <w:rPr>
        <w:rFonts w:ascii="Arial" w:hAnsi="Arial" w:hint="default"/>
      </w:rPr>
    </w:lvl>
    <w:lvl w:ilvl="1" w:tplc="AB5090FA" w:tentative="1">
      <w:start w:val="1"/>
      <w:numFmt w:val="bullet"/>
      <w:lvlText w:val="•"/>
      <w:lvlJc w:val="left"/>
      <w:pPr>
        <w:tabs>
          <w:tab w:val="num" w:pos="1440"/>
        </w:tabs>
        <w:ind w:left="1440" w:hanging="360"/>
      </w:pPr>
      <w:rPr>
        <w:rFonts w:ascii="Arial" w:hAnsi="Arial" w:hint="default"/>
      </w:rPr>
    </w:lvl>
    <w:lvl w:ilvl="2" w:tplc="4F6C3F0C" w:tentative="1">
      <w:start w:val="1"/>
      <w:numFmt w:val="bullet"/>
      <w:lvlText w:val="•"/>
      <w:lvlJc w:val="left"/>
      <w:pPr>
        <w:tabs>
          <w:tab w:val="num" w:pos="2160"/>
        </w:tabs>
        <w:ind w:left="2160" w:hanging="360"/>
      </w:pPr>
      <w:rPr>
        <w:rFonts w:ascii="Arial" w:hAnsi="Arial" w:hint="default"/>
      </w:rPr>
    </w:lvl>
    <w:lvl w:ilvl="3" w:tplc="13FC1AEA" w:tentative="1">
      <w:start w:val="1"/>
      <w:numFmt w:val="bullet"/>
      <w:lvlText w:val="•"/>
      <w:lvlJc w:val="left"/>
      <w:pPr>
        <w:tabs>
          <w:tab w:val="num" w:pos="2880"/>
        </w:tabs>
        <w:ind w:left="2880" w:hanging="360"/>
      </w:pPr>
      <w:rPr>
        <w:rFonts w:ascii="Arial" w:hAnsi="Arial" w:hint="default"/>
      </w:rPr>
    </w:lvl>
    <w:lvl w:ilvl="4" w:tplc="C2B2B6D4" w:tentative="1">
      <w:start w:val="1"/>
      <w:numFmt w:val="bullet"/>
      <w:lvlText w:val="•"/>
      <w:lvlJc w:val="left"/>
      <w:pPr>
        <w:tabs>
          <w:tab w:val="num" w:pos="3600"/>
        </w:tabs>
        <w:ind w:left="3600" w:hanging="360"/>
      </w:pPr>
      <w:rPr>
        <w:rFonts w:ascii="Arial" w:hAnsi="Arial" w:hint="default"/>
      </w:rPr>
    </w:lvl>
    <w:lvl w:ilvl="5" w:tplc="98E2BC90" w:tentative="1">
      <w:start w:val="1"/>
      <w:numFmt w:val="bullet"/>
      <w:lvlText w:val="•"/>
      <w:lvlJc w:val="left"/>
      <w:pPr>
        <w:tabs>
          <w:tab w:val="num" w:pos="4320"/>
        </w:tabs>
        <w:ind w:left="4320" w:hanging="360"/>
      </w:pPr>
      <w:rPr>
        <w:rFonts w:ascii="Arial" w:hAnsi="Arial" w:hint="default"/>
      </w:rPr>
    </w:lvl>
    <w:lvl w:ilvl="6" w:tplc="52783504" w:tentative="1">
      <w:start w:val="1"/>
      <w:numFmt w:val="bullet"/>
      <w:lvlText w:val="•"/>
      <w:lvlJc w:val="left"/>
      <w:pPr>
        <w:tabs>
          <w:tab w:val="num" w:pos="5040"/>
        </w:tabs>
        <w:ind w:left="5040" w:hanging="360"/>
      </w:pPr>
      <w:rPr>
        <w:rFonts w:ascii="Arial" w:hAnsi="Arial" w:hint="default"/>
      </w:rPr>
    </w:lvl>
    <w:lvl w:ilvl="7" w:tplc="5B2634D4" w:tentative="1">
      <w:start w:val="1"/>
      <w:numFmt w:val="bullet"/>
      <w:lvlText w:val="•"/>
      <w:lvlJc w:val="left"/>
      <w:pPr>
        <w:tabs>
          <w:tab w:val="num" w:pos="5760"/>
        </w:tabs>
        <w:ind w:left="5760" w:hanging="360"/>
      </w:pPr>
      <w:rPr>
        <w:rFonts w:ascii="Arial" w:hAnsi="Arial" w:hint="default"/>
      </w:rPr>
    </w:lvl>
    <w:lvl w:ilvl="8" w:tplc="08AACCBC" w:tentative="1">
      <w:start w:val="1"/>
      <w:numFmt w:val="bullet"/>
      <w:lvlText w:val="•"/>
      <w:lvlJc w:val="left"/>
      <w:pPr>
        <w:tabs>
          <w:tab w:val="num" w:pos="6480"/>
        </w:tabs>
        <w:ind w:left="6480" w:hanging="360"/>
      </w:pPr>
      <w:rPr>
        <w:rFonts w:ascii="Arial" w:hAnsi="Arial" w:hint="default"/>
      </w:rPr>
    </w:lvl>
  </w:abstractNum>
  <w:abstractNum w:abstractNumId="6">
    <w:nsid w:val="57B75395"/>
    <w:multiLevelType w:val="hybridMultilevel"/>
    <w:tmpl w:val="859AC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65D516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6A04723B"/>
    <w:multiLevelType w:val="hybridMultilevel"/>
    <w:tmpl w:val="18AE23A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6AF44F98"/>
    <w:multiLevelType w:val="hybridMultilevel"/>
    <w:tmpl w:val="6890E34E"/>
    <w:lvl w:ilvl="0" w:tplc="C6401574">
      <w:start w:val="1"/>
      <w:numFmt w:val="bullet"/>
      <w:lvlText w:val="•"/>
      <w:lvlJc w:val="left"/>
      <w:pPr>
        <w:tabs>
          <w:tab w:val="num" w:pos="720"/>
        </w:tabs>
        <w:ind w:left="720" w:hanging="360"/>
      </w:pPr>
      <w:rPr>
        <w:rFonts w:ascii="Arial" w:hAnsi="Arial" w:hint="default"/>
      </w:rPr>
    </w:lvl>
    <w:lvl w:ilvl="1" w:tplc="69CE8F94" w:tentative="1">
      <w:start w:val="1"/>
      <w:numFmt w:val="bullet"/>
      <w:lvlText w:val="•"/>
      <w:lvlJc w:val="left"/>
      <w:pPr>
        <w:tabs>
          <w:tab w:val="num" w:pos="1440"/>
        </w:tabs>
        <w:ind w:left="1440" w:hanging="360"/>
      </w:pPr>
      <w:rPr>
        <w:rFonts w:ascii="Arial" w:hAnsi="Arial" w:hint="default"/>
      </w:rPr>
    </w:lvl>
    <w:lvl w:ilvl="2" w:tplc="A574C192" w:tentative="1">
      <w:start w:val="1"/>
      <w:numFmt w:val="bullet"/>
      <w:lvlText w:val="•"/>
      <w:lvlJc w:val="left"/>
      <w:pPr>
        <w:tabs>
          <w:tab w:val="num" w:pos="2160"/>
        </w:tabs>
        <w:ind w:left="2160" w:hanging="360"/>
      </w:pPr>
      <w:rPr>
        <w:rFonts w:ascii="Arial" w:hAnsi="Arial" w:hint="default"/>
      </w:rPr>
    </w:lvl>
    <w:lvl w:ilvl="3" w:tplc="A2225F18" w:tentative="1">
      <w:start w:val="1"/>
      <w:numFmt w:val="bullet"/>
      <w:lvlText w:val="•"/>
      <w:lvlJc w:val="left"/>
      <w:pPr>
        <w:tabs>
          <w:tab w:val="num" w:pos="2880"/>
        </w:tabs>
        <w:ind w:left="2880" w:hanging="360"/>
      </w:pPr>
      <w:rPr>
        <w:rFonts w:ascii="Arial" w:hAnsi="Arial" w:hint="default"/>
      </w:rPr>
    </w:lvl>
    <w:lvl w:ilvl="4" w:tplc="89180784" w:tentative="1">
      <w:start w:val="1"/>
      <w:numFmt w:val="bullet"/>
      <w:lvlText w:val="•"/>
      <w:lvlJc w:val="left"/>
      <w:pPr>
        <w:tabs>
          <w:tab w:val="num" w:pos="3600"/>
        </w:tabs>
        <w:ind w:left="3600" w:hanging="360"/>
      </w:pPr>
      <w:rPr>
        <w:rFonts w:ascii="Arial" w:hAnsi="Arial" w:hint="default"/>
      </w:rPr>
    </w:lvl>
    <w:lvl w:ilvl="5" w:tplc="D3561AA6" w:tentative="1">
      <w:start w:val="1"/>
      <w:numFmt w:val="bullet"/>
      <w:lvlText w:val="•"/>
      <w:lvlJc w:val="left"/>
      <w:pPr>
        <w:tabs>
          <w:tab w:val="num" w:pos="4320"/>
        </w:tabs>
        <w:ind w:left="4320" w:hanging="360"/>
      </w:pPr>
      <w:rPr>
        <w:rFonts w:ascii="Arial" w:hAnsi="Arial" w:hint="default"/>
      </w:rPr>
    </w:lvl>
    <w:lvl w:ilvl="6" w:tplc="D0BC6216" w:tentative="1">
      <w:start w:val="1"/>
      <w:numFmt w:val="bullet"/>
      <w:lvlText w:val="•"/>
      <w:lvlJc w:val="left"/>
      <w:pPr>
        <w:tabs>
          <w:tab w:val="num" w:pos="5040"/>
        </w:tabs>
        <w:ind w:left="5040" w:hanging="360"/>
      </w:pPr>
      <w:rPr>
        <w:rFonts w:ascii="Arial" w:hAnsi="Arial" w:hint="default"/>
      </w:rPr>
    </w:lvl>
    <w:lvl w:ilvl="7" w:tplc="529ED83E" w:tentative="1">
      <w:start w:val="1"/>
      <w:numFmt w:val="bullet"/>
      <w:lvlText w:val="•"/>
      <w:lvlJc w:val="left"/>
      <w:pPr>
        <w:tabs>
          <w:tab w:val="num" w:pos="5760"/>
        </w:tabs>
        <w:ind w:left="5760" w:hanging="360"/>
      </w:pPr>
      <w:rPr>
        <w:rFonts w:ascii="Arial" w:hAnsi="Arial" w:hint="default"/>
      </w:rPr>
    </w:lvl>
    <w:lvl w:ilvl="8" w:tplc="6FEAD454" w:tentative="1">
      <w:start w:val="1"/>
      <w:numFmt w:val="bullet"/>
      <w:lvlText w:val="•"/>
      <w:lvlJc w:val="left"/>
      <w:pPr>
        <w:tabs>
          <w:tab w:val="num" w:pos="6480"/>
        </w:tabs>
        <w:ind w:left="6480" w:hanging="360"/>
      </w:pPr>
      <w:rPr>
        <w:rFonts w:ascii="Arial" w:hAnsi="Arial" w:hint="default"/>
      </w:rPr>
    </w:lvl>
  </w:abstractNum>
  <w:abstractNum w:abstractNumId="10">
    <w:nsid w:val="74651D61"/>
    <w:multiLevelType w:val="hybridMultilevel"/>
    <w:tmpl w:val="8F3EA6B0"/>
    <w:lvl w:ilvl="0" w:tplc="8A2083D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B9C7558"/>
    <w:multiLevelType w:val="hybridMultilevel"/>
    <w:tmpl w:val="0BECD18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8"/>
  </w:num>
  <w:num w:numId="3">
    <w:abstractNumId w:val="0"/>
  </w:num>
  <w:num w:numId="4">
    <w:abstractNumId w:val="7"/>
  </w:num>
  <w:num w:numId="5">
    <w:abstractNumId w:val="5"/>
  </w:num>
  <w:num w:numId="6">
    <w:abstractNumId w:val="9"/>
  </w:num>
  <w:num w:numId="7">
    <w:abstractNumId w:val="11"/>
  </w:num>
  <w:num w:numId="8">
    <w:abstractNumId w:val="6"/>
  </w:num>
  <w:num w:numId="9">
    <w:abstractNumId w:val="10"/>
  </w:num>
  <w:num w:numId="10">
    <w:abstractNumId w:val="4"/>
  </w:num>
  <w:num w:numId="11">
    <w:abstractNumId w:val="3"/>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drawingGridHorizontalSpacing w:val="120"/>
  <w:drawingGridVerticalSpacing w:val="163"/>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CDE"/>
    <w:rsid w:val="00004D9C"/>
    <w:rsid w:val="00005CBB"/>
    <w:rsid w:val="00017020"/>
    <w:rsid w:val="000218ED"/>
    <w:rsid w:val="00022258"/>
    <w:rsid w:val="00023457"/>
    <w:rsid w:val="00030959"/>
    <w:rsid w:val="00033FD3"/>
    <w:rsid w:val="00041A50"/>
    <w:rsid w:val="000464A5"/>
    <w:rsid w:val="00047065"/>
    <w:rsid w:val="000506F8"/>
    <w:rsid w:val="00050EB2"/>
    <w:rsid w:val="0006626E"/>
    <w:rsid w:val="00073EFC"/>
    <w:rsid w:val="00074316"/>
    <w:rsid w:val="00080672"/>
    <w:rsid w:val="00083961"/>
    <w:rsid w:val="000844C6"/>
    <w:rsid w:val="00085CB9"/>
    <w:rsid w:val="00087E78"/>
    <w:rsid w:val="000928B6"/>
    <w:rsid w:val="000A0415"/>
    <w:rsid w:val="000B219C"/>
    <w:rsid w:val="000B5D37"/>
    <w:rsid w:val="000B6C88"/>
    <w:rsid w:val="000D3C30"/>
    <w:rsid w:val="000D7CE4"/>
    <w:rsid w:val="000E0057"/>
    <w:rsid w:val="000E26BF"/>
    <w:rsid w:val="000F0B97"/>
    <w:rsid w:val="000F64D0"/>
    <w:rsid w:val="000F73CF"/>
    <w:rsid w:val="0011253F"/>
    <w:rsid w:val="00112606"/>
    <w:rsid w:val="0012478A"/>
    <w:rsid w:val="00134F6B"/>
    <w:rsid w:val="00137EDA"/>
    <w:rsid w:val="00142D10"/>
    <w:rsid w:val="00145F20"/>
    <w:rsid w:val="00151DF5"/>
    <w:rsid w:val="00152EEE"/>
    <w:rsid w:val="00152F62"/>
    <w:rsid w:val="00153444"/>
    <w:rsid w:val="00153649"/>
    <w:rsid w:val="00164474"/>
    <w:rsid w:val="00165E03"/>
    <w:rsid w:val="00166366"/>
    <w:rsid w:val="00166859"/>
    <w:rsid w:val="00172B9D"/>
    <w:rsid w:val="001774E5"/>
    <w:rsid w:val="001852F4"/>
    <w:rsid w:val="001915C6"/>
    <w:rsid w:val="001A74BE"/>
    <w:rsid w:val="001C2EA9"/>
    <w:rsid w:val="001C6697"/>
    <w:rsid w:val="001C67F9"/>
    <w:rsid w:val="001D08A9"/>
    <w:rsid w:val="001D1886"/>
    <w:rsid w:val="001D79FE"/>
    <w:rsid w:val="001E4119"/>
    <w:rsid w:val="001E550A"/>
    <w:rsid w:val="001F2D42"/>
    <w:rsid w:val="0020019A"/>
    <w:rsid w:val="002144AF"/>
    <w:rsid w:val="0021710F"/>
    <w:rsid w:val="002240AA"/>
    <w:rsid w:val="002319DB"/>
    <w:rsid w:val="00250FCC"/>
    <w:rsid w:val="002722DF"/>
    <w:rsid w:val="0029068E"/>
    <w:rsid w:val="00296FCB"/>
    <w:rsid w:val="002B555E"/>
    <w:rsid w:val="002B7666"/>
    <w:rsid w:val="002D08FC"/>
    <w:rsid w:val="002D2A36"/>
    <w:rsid w:val="002E5E49"/>
    <w:rsid w:val="002E7BF0"/>
    <w:rsid w:val="002F00D9"/>
    <w:rsid w:val="002F1140"/>
    <w:rsid w:val="00300DEE"/>
    <w:rsid w:val="0031299F"/>
    <w:rsid w:val="003141D3"/>
    <w:rsid w:val="00317482"/>
    <w:rsid w:val="00330D0B"/>
    <w:rsid w:val="00334C29"/>
    <w:rsid w:val="0033624F"/>
    <w:rsid w:val="00336EA3"/>
    <w:rsid w:val="003501E6"/>
    <w:rsid w:val="00353A68"/>
    <w:rsid w:val="00355CE6"/>
    <w:rsid w:val="003603B6"/>
    <w:rsid w:val="003677DE"/>
    <w:rsid w:val="00376769"/>
    <w:rsid w:val="0038099E"/>
    <w:rsid w:val="0038667D"/>
    <w:rsid w:val="003877BC"/>
    <w:rsid w:val="0039382E"/>
    <w:rsid w:val="003A3C2B"/>
    <w:rsid w:val="003A6D0B"/>
    <w:rsid w:val="003B041C"/>
    <w:rsid w:val="003B6712"/>
    <w:rsid w:val="003D13AA"/>
    <w:rsid w:val="003D146B"/>
    <w:rsid w:val="003D2D85"/>
    <w:rsid w:val="003E2E6A"/>
    <w:rsid w:val="003E4201"/>
    <w:rsid w:val="003E5AC3"/>
    <w:rsid w:val="003E5D4E"/>
    <w:rsid w:val="003F28D5"/>
    <w:rsid w:val="00400C45"/>
    <w:rsid w:val="004131DC"/>
    <w:rsid w:val="00413C4F"/>
    <w:rsid w:val="00423C3D"/>
    <w:rsid w:val="00423CBC"/>
    <w:rsid w:val="0043358B"/>
    <w:rsid w:val="0043526E"/>
    <w:rsid w:val="0043561F"/>
    <w:rsid w:val="00442FFA"/>
    <w:rsid w:val="00460D0E"/>
    <w:rsid w:val="00462EBF"/>
    <w:rsid w:val="00463E8E"/>
    <w:rsid w:val="0046576E"/>
    <w:rsid w:val="0047501E"/>
    <w:rsid w:val="00475BFD"/>
    <w:rsid w:val="00477C23"/>
    <w:rsid w:val="00490874"/>
    <w:rsid w:val="004919E1"/>
    <w:rsid w:val="004A037C"/>
    <w:rsid w:val="004A4548"/>
    <w:rsid w:val="004A56B0"/>
    <w:rsid w:val="004B1648"/>
    <w:rsid w:val="004B58CE"/>
    <w:rsid w:val="004C223E"/>
    <w:rsid w:val="004C525E"/>
    <w:rsid w:val="004C68EE"/>
    <w:rsid w:val="004E11BD"/>
    <w:rsid w:val="004E44BD"/>
    <w:rsid w:val="004E5B6C"/>
    <w:rsid w:val="004F0088"/>
    <w:rsid w:val="004F7F50"/>
    <w:rsid w:val="005305B9"/>
    <w:rsid w:val="0053250C"/>
    <w:rsid w:val="005341B4"/>
    <w:rsid w:val="00535BF7"/>
    <w:rsid w:val="00537D9D"/>
    <w:rsid w:val="00541854"/>
    <w:rsid w:val="00542E42"/>
    <w:rsid w:val="00545C20"/>
    <w:rsid w:val="005479BB"/>
    <w:rsid w:val="00560B18"/>
    <w:rsid w:val="00561706"/>
    <w:rsid w:val="00577FE4"/>
    <w:rsid w:val="005848CB"/>
    <w:rsid w:val="0058601E"/>
    <w:rsid w:val="005B0B9F"/>
    <w:rsid w:val="005B1910"/>
    <w:rsid w:val="005C1592"/>
    <w:rsid w:val="005D505B"/>
    <w:rsid w:val="005D52F6"/>
    <w:rsid w:val="005D7486"/>
    <w:rsid w:val="005E0042"/>
    <w:rsid w:val="005E4E39"/>
    <w:rsid w:val="005F00B9"/>
    <w:rsid w:val="00600ED3"/>
    <w:rsid w:val="006157FF"/>
    <w:rsid w:val="006217F6"/>
    <w:rsid w:val="00624D7D"/>
    <w:rsid w:val="00642A91"/>
    <w:rsid w:val="0064328C"/>
    <w:rsid w:val="00650BE6"/>
    <w:rsid w:val="006522AF"/>
    <w:rsid w:val="00652896"/>
    <w:rsid w:val="00655C03"/>
    <w:rsid w:val="00662AA0"/>
    <w:rsid w:val="006638CC"/>
    <w:rsid w:val="006778FE"/>
    <w:rsid w:val="00684CFD"/>
    <w:rsid w:val="00692662"/>
    <w:rsid w:val="00695CDE"/>
    <w:rsid w:val="006C15E5"/>
    <w:rsid w:val="006C5823"/>
    <w:rsid w:val="006D3CCE"/>
    <w:rsid w:val="006D3E82"/>
    <w:rsid w:val="006E1F51"/>
    <w:rsid w:val="006E3EE9"/>
    <w:rsid w:val="007131D6"/>
    <w:rsid w:val="00713A65"/>
    <w:rsid w:val="0071547F"/>
    <w:rsid w:val="007169A2"/>
    <w:rsid w:val="007218C2"/>
    <w:rsid w:val="00726D18"/>
    <w:rsid w:val="00730F7B"/>
    <w:rsid w:val="007540B5"/>
    <w:rsid w:val="00754F79"/>
    <w:rsid w:val="007651D1"/>
    <w:rsid w:val="007664CF"/>
    <w:rsid w:val="00772247"/>
    <w:rsid w:val="00781671"/>
    <w:rsid w:val="00794217"/>
    <w:rsid w:val="007A0B32"/>
    <w:rsid w:val="007A6D33"/>
    <w:rsid w:val="007A713A"/>
    <w:rsid w:val="007B0B0A"/>
    <w:rsid w:val="007B3285"/>
    <w:rsid w:val="007B4EBB"/>
    <w:rsid w:val="007B4FA7"/>
    <w:rsid w:val="007D4903"/>
    <w:rsid w:val="007F06C5"/>
    <w:rsid w:val="00803B61"/>
    <w:rsid w:val="00817262"/>
    <w:rsid w:val="008208FD"/>
    <w:rsid w:val="0082396C"/>
    <w:rsid w:val="00823F71"/>
    <w:rsid w:val="0082708C"/>
    <w:rsid w:val="00827412"/>
    <w:rsid w:val="0083010D"/>
    <w:rsid w:val="008313FC"/>
    <w:rsid w:val="00831405"/>
    <w:rsid w:val="008316AB"/>
    <w:rsid w:val="00834D0F"/>
    <w:rsid w:val="0083668C"/>
    <w:rsid w:val="008461FD"/>
    <w:rsid w:val="00857201"/>
    <w:rsid w:val="008B6D6B"/>
    <w:rsid w:val="008C2A87"/>
    <w:rsid w:val="008C377E"/>
    <w:rsid w:val="008D1156"/>
    <w:rsid w:val="008D729B"/>
    <w:rsid w:val="008E3D09"/>
    <w:rsid w:val="008E692A"/>
    <w:rsid w:val="00913026"/>
    <w:rsid w:val="0091559D"/>
    <w:rsid w:val="00924FE6"/>
    <w:rsid w:val="00932B4B"/>
    <w:rsid w:val="00935607"/>
    <w:rsid w:val="00937595"/>
    <w:rsid w:val="00941168"/>
    <w:rsid w:val="00946762"/>
    <w:rsid w:val="0094730A"/>
    <w:rsid w:val="0095034D"/>
    <w:rsid w:val="0096231A"/>
    <w:rsid w:val="0096589E"/>
    <w:rsid w:val="009668CC"/>
    <w:rsid w:val="00981A80"/>
    <w:rsid w:val="00986073"/>
    <w:rsid w:val="00987A9D"/>
    <w:rsid w:val="009A36B6"/>
    <w:rsid w:val="009A58E6"/>
    <w:rsid w:val="009A63C8"/>
    <w:rsid w:val="009B7950"/>
    <w:rsid w:val="009D15A5"/>
    <w:rsid w:val="009D2D11"/>
    <w:rsid w:val="00A1000F"/>
    <w:rsid w:val="00A105EC"/>
    <w:rsid w:val="00A12EE7"/>
    <w:rsid w:val="00A13734"/>
    <w:rsid w:val="00A151EE"/>
    <w:rsid w:val="00A15E9B"/>
    <w:rsid w:val="00A2525C"/>
    <w:rsid w:val="00A317B4"/>
    <w:rsid w:val="00A326A4"/>
    <w:rsid w:val="00A327C2"/>
    <w:rsid w:val="00A4239F"/>
    <w:rsid w:val="00A540FE"/>
    <w:rsid w:val="00A54AC6"/>
    <w:rsid w:val="00A5524A"/>
    <w:rsid w:val="00A56AED"/>
    <w:rsid w:val="00A56FF8"/>
    <w:rsid w:val="00A71A75"/>
    <w:rsid w:val="00A739F4"/>
    <w:rsid w:val="00A74DED"/>
    <w:rsid w:val="00A7508B"/>
    <w:rsid w:val="00A800EA"/>
    <w:rsid w:val="00AA598D"/>
    <w:rsid w:val="00AB0B1B"/>
    <w:rsid w:val="00AB3C74"/>
    <w:rsid w:val="00AB7C7B"/>
    <w:rsid w:val="00AC3FD7"/>
    <w:rsid w:val="00AD208F"/>
    <w:rsid w:val="00AE15FB"/>
    <w:rsid w:val="00AE5982"/>
    <w:rsid w:val="00AF5770"/>
    <w:rsid w:val="00B01CDB"/>
    <w:rsid w:val="00B14F5A"/>
    <w:rsid w:val="00B166B3"/>
    <w:rsid w:val="00B21833"/>
    <w:rsid w:val="00B32A6A"/>
    <w:rsid w:val="00B430C8"/>
    <w:rsid w:val="00B45DF1"/>
    <w:rsid w:val="00B45F77"/>
    <w:rsid w:val="00B472E8"/>
    <w:rsid w:val="00B57E99"/>
    <w:rsid w:val="00B65E93"/>
    <w:rsid w:val="00B7181E"/>
    <w:rsid w:val="00B73000"/>
    <w:rsid w:val="00B736BC"/>
    <w:rsid w:val="00B80580"/>
    <w:rsid w:val="00B915D5"/>
    <w:rsid w:val="00B91C21"/>
    <w:rsid w:val="00B95F73"/>
    <w:rsid w:val="00BA6EE1"/>
    <w:rsid w:val="00BC39F6"/>
    <w:rsid w:val="00BF2BC7"/>
    <w:rsid w:val="00BF336C"/>
    <w:rsid w:val="00C0113A"/>
    <w:rsid w:val="00C20BA3"/>
    <w:rsid w:val="00C31EE0"/>
    <w:rsid w:val="00C33EFD"/>
    <w:rsid w:val="00C37593"/>
    <w:rsid w:val="00C41144"/>
    <w:rsid w:val="00C50F0B"/>
    <w:rsid w:val="00C56B46"/>
    <w:rsid w:val="00C62E9F"/>
    <w:rsid w:val="00C65257"/>
    <w:rsid w:val="00C72857"/>
    <w:rsid w:val="00C74FFB"/>
    <w:rsid w:val="00C8292C"/>
    <w:rsid w:val="00C82A63"/>
    <w:rsid w:val="00C87063"/>
    <w:rsid w:val="00C96C7D"/>
    <w:rsid w:val="00CA5801"/>
    <w:rsid w:val="00CC2F71"/>
    <w:rsid w:val="00D0567A"/>
    <w:rsid w:val="00D40BD3"/>
    <w:rsid w:val="00D55DA8"/>
    <w:rsid w:val="00D57A00"/>
    <w:rsid w:val="00D65C09"/>
    <w:rsid w:val="00D67F0D"/>
    <w:rsid w:val="00D7464B"/>
    <w:rsid w:val="00D77274"/>
    <w:rsid w:val="00D927DE"/>
    <w:rsid w:val="00DA2AE8"/>
    <w:rsid w:val="00DA2CE1"/>
    <w:rsid w:val="00DB7235"/>
    <w:rsid w:val="00DC4252"/>
    <w:rsid w:val="00DC4CF9"/>
    <w:rsid w:val="00DC6F71"/>
    <w:rsid w:val="00DD2DD0"/>
    <w:rsid w:val="00DD4FFC"/>
    <w:rsid w:val="00DD679E"/>
    <w:rsid w:val="00DE091D"/>
    <w:rsid w:val="00DE19E8"/>
    <w:rsid w:val="00DE78D2"/>
    <w:rsid w:val="00DF02A8"/>
    <w:rsid w:val="00DF0623"/>
    <w:rsid w:val="00DF3BCD"/>
    <w:rsid w:val="00DF4B84"/>
    <w:rsid w:val="00DF53A4"/>
    <w:rsid w:val="00E0100D"/>
    <w:rsid w:val="00E013CD"/>
    <w:rsid w:val="00E0212A"/>
    <w:rsid w:val="00E07BA0"/>
    <w:rsid w:val="00E11135"/>
    <w:rsid w:val="00E2048D"/>
    <w:rsid w:val="00E238F4"/>
    <w:rsid w:val="00E25F0B"/>
    <w:rsid w:val="00E3320F"/>
    <w:rsid w:val="00E413EF"/>
    <w:rsid w:val="00E512BB"/>
    <w:rsid w:val="00E53B98"/>
    <w:rsid w:val="00E5491A"/>
    <w:rsid w:val="00E558D1"/>
    <w:rsid w:val="00E60AFC"/>
    <w:rsid w:val="00E63D44"/>
    <w:rsid w:val="00E702D2"/>
    <w:rsid w:val="00E72F90"/>
    <w:rsid w:val="00E77632"/>
    <w:rsid w:val="00E83455"/>
    <w:rsid w:val="00E9590D"/>
    <w:rsid w:val="00E95B5A"/>
    <w:rsid w:val="00EA1157"/>
    <w:rsid w:val="00EA117D"/>
    <w:rsid w:val="00EB2E16"/>
    <w:rsid w:val="00EC5B72"/>
    <w:rsid w:val="00EC7ACE"/>
    <w:rsid w:val="00EE6797"/>
    <w:rsid w:val="00F256F4"/>
    <w:rsid w:val="00F37077"/>
    <w:rsid w:val="00F41683"/>
    <w:rsid w:val="00F44068"/>
    <w:rsid w:val="00F444C9"/>
    <w:rsid w:val="00F44917"/>
    <w:rsid w:val="00F45142"/>
    <w:rsid w:val="00F71CC0"/>
    <w:rsid w:val="00F74EA7"/>
    <w:rsid w:val="00F75EC5"/>
    <w:rsid w:val="00F85A67"/>
    <w:rsid w:val="00F93ECA"/>
    <w:rsid w:val="00F95928"/>
    <w:rsid w:val="00F95B8F"/>
    <w:rsid w:val="00FA5EAE"/>
    <w:rsid w:val="00FA72E3"/>
    <w:rsid w:val="00FB2B0F"/>
    <w:rsid w:val="00FC154C"/>
    <w:rsid w:val="00FD107C"/>
    <w:rsid w:val="00FD122E"/>
    <w:rsid w:val="00FE209A"/>
    <w:rsid w:val="00FF0E93"/>
    <w:rsid w:val="00FF180A"/>
    <w:rsid w:val="00FF3CD8"/>
    <w:rsid w:val="00FF58A0"/>
    <w:rsid w:val="00FF5B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36C95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E78D2"/>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5CDE"/>
    <w:pPr>
      <w:ind w:left="720"/>
      <w:contextualSpacing/>
    </w:pPr>
    <w:rPr>
      <w:rFonts w:asciiTheme="minorHAnsi" w:hAnsiTheme="minorHAnsi" w:cstheme="minorBidi"/>
    </w:rPr>
  </w:style>
  <w:style w:type="paragraph" w:styleId="FootnoteText">
    <w:name w:val="footnote text"/>
    <w:basedOn w:val="Normal"/>
    <w:link w:val="FootnoteTextChar"/>
    <w:uiPriority w:val="99"/>
    <w:unhideWhenUsed/>
    <w:rsid w:val="00695CDE"/>
    <w:rPr>
      <w:rFonts w:asciiTheme="minorHAnsi" w:hAnsiTheme="minorHAnsi" w:cstheme="minorBidi"/>
    </w:rPr>
  </w:style>
  <w:style w:type="character" w:customStyle="1" w:styleId="FootnoteTextChar">
    <w:name w:val="Footnote Text Char"/>
    <w:basedOn w:val="DefaultParagraphFont"/>
    <w:link w:val="FootnoteText"/>
    <w:uiPriority w:val="99"/>
    <w:rsid w:val="00695CDE"/>
  </w:style>
  <w:style w:type="character" w:styleId="FootnoteReference">
    <w:name w:val="footnote reference"/>
    <w:basedOn w:val="DefaultParagraphFont"/>
    <w:uiPriority w:val="99"/>
    <w:unhideWhenUsed/>
    <w:rsid w:val="00695CDE"/>
    <w:rPr>
      <w:vertAlign w:val="superscript"/>
    </w:rPr>
  </w:style>
  <w:style w:type="character" w:styleId="Hyperlink">
    <w:name w:val="Hyperlink"/>
    <w:basedOn w:val="DefaultParagraphFont"/>
    <w:uiPriority w:val="99"/>
    <w:unhideWhenUsed/>
    <w:rsid w:val="00695CDE"/>
    <w:rPr>
      <w:color w:val="0000FF"/>
      <w:u w:val="single"/>
    </w:rPr>
  </w:style>
  <w:style w:type="paragraph" w:styleId="Footer">
    <w:name w:val="footer"/>
    <w:basedOn w:val="Normal"/>
    <w:link w:val="FooterChar"/>
    <w:uiPriority w:val="99"/>
    <w:unhideWhenUsed/>
    <w:rsid w:val="00C31EE0"/>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C31EE0"/>
  </w:style>
  <w:style w:type="character" w:styleId="PageNumber">
    <w:name w:val="page number"/>
    <w:basedOn w:val="DefaultParagraphFont"/>
    <w:uiPriority w:val="99"/>
    <w:semiHidden/>
    <w:unhideWhenUsed/>
    <w:rsid w:val="00C31EE0"/>
  </w:style>
  <w:style w:type="character" w:styleId="FollowedHyperlink">
    <w:name w:val="FollowedHyperlink"/>
    <w:basedOn w:val="DefaultParagraphFont"/>
    <w:uiPriority w:val="99"/>
    <w:semiHidden/>
    <w:unhideWhenUsed/>
    <w:rsid w:val="00E204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155686">
      <w:bodyDiv w:val="1"/>
      <w:marLeft w:val="0"/>
      <w:marRight w:val="0"/>
      <w:marTop w:val="0"/>
      <w:marBottom w:val="0"/>
      <w:divBdr>
        <w:top w:val="none" w:sz="0" w:space="0" w:color="auto"/>
        <w:left w:val="none" w:sz="0" w:space="0" w:color="auto"/>
        <w:bottom w:val="none" w:sz="0" w:space="0" w:color="auto"/>
        <w:right w:val="none" w:sz="0" w:space="0" w:color="auto"/>
      </w:divBdr>
    </w:div>
    <w:div w:id="129717223">
      <w:bodyDiv w:val="1"/>
      <w:marLeft w:val="0"/>
      <w:marRight w:val="0"/>
      <w:marTop w:val="0"/>
      <w:marBottom w:val="0"/>
      <w:divBdr>
        <w:top w:val="none" w:sz="0" w:space="0" w:color="auto"/>
        <w:left w:val="none" w:sz="0" w:space="0" w:color="auto"/>
        <w:bottom w:val="none" w:sz="0" w:space="0" w:color="auto"/>
        <w:right w:val="none" w:sz="0" w:space="0" w:color="auto"/>
      </w:divBdr>
    </w:div>
    <w:div w:id="249317132">
      <w:bodyDiv w:val="1"/>
      <w:marLeft w:val="0"/>
      <w:marRight w:val="0"/>
      <w:marTop w:val="0"/>
      <w:marBottom w:val="0"/>
      <w:divBdr>
        <w:top w:val="none" w:sz="0" w:space="0" w:color="auto"/>
        <w:left w:val="none" w:sz="0" w:space="0" w:color="auto"/>
        <w:bottom w:val="none" w:sz="0" w:space="0" w:color="auto"/>
        <w:right w:val="none" w:sz="0" w:space="0" w:color="auto"/>
      </w:divBdr>
    </w:div>
    <w:div w:id="300697125">
      <w:bodyDiv w:val="1"/>
      <w:marLeft w:val="0"/>
      <w:marRight w:val="0"/>
      <w:marTop w:val="0"/>
      <w:marBottom w:val="0"/>
      <w:divBdr>
        <w:top w:val="none" w:sz="0" w:space="0" w:color="auto"/>
        <w:left w:val="none" w:sz="0" w:space="0" w:color="auto"/>
        <w:bottom w:val="none" w:sz="0" w:space="0" w:color="auto"/>
        <w:right w:val="none" w:sz="0" w:space="0" w:color="auto"/>
      </w:divBdr>
    </w:div>
    <w:div w:id="389302781">
      <w:bodyDiv w:val="1"/>
      <w:marLeft w:val="0"/>
      <w:marRight w:val="0"/>
      <w:marTop w:val="0"/>
      <w:marBottom w:val="0"/>
      <w:divBdr>
        <w:top w:val="none" w:sz="0" w:space="0" w:color="auto"/>
        <w:left w:val="none" w:sz="0" w:space="0" w:color="auto"/>
        <w:bottom w:val="none" w:sz="0" w:space="0" w:color="auto"/>
        <w:right w:val="none" w:sz="0" w:space="0" w:color="auto"/>
      </w:divBdr>
    </w:div>
    <w:div w:id="411506459">
      <w:bodyDiv w:val="1"/>
      <w:marLeft w:val="0"/>
      <w:marRight w:val="0"/>
      <w:marTop w:val="0"/>
      <w:marBottom w:val="0"/>
      <w:divBdr>
        <w:top w:val="none" w:sz="0" w:space="0" w:color="auto"/>
        <w:left w:val="none" w:sz="0" w:space="0" w:color="auto"/>
        <w:bottom w:val="none" w:sz="0" w:space="0" w:color="auto"/>
        <w:right w:val="none" w:sz="0" w:space="0" w:color="auto"/>
      </w:divBdr>
    </w:div>
    <w:div w:id="461844731">
      <w:bodyDiv w:val="1"/>
      <w:marLeft w:val="0"/>
      <w:marRight w:val="0"/>
      <w:marTop w:val="0"/>
      <w:marBottom w:val="0"/>
      <w:divBdr>
        <w:top w:val="none" w:sz="0" w:space="0" w:color="auto"/>
        <w:left w:val="none" w:sz="0" w:space="0" w:color="auto"/>
        <w:bottom w:val="none" w:sz="0" w:space="0" w:color="auto"/>
        <w:right w:val="none" w:sz="0" w:space="0" w:color="auto"/>
      </w:divBdr>
    </w:div>
    <w:div w:id="681052509">
      <w:bodyDiv w:val="1"/>
      <w:marLeft w:val="0"/>
      <w:marRight w:val="0"/>
      <w:marTop w:val="0"/>
      <w:marBottom w:val="0"/>
      <w:divBdr>
        <w:top w:val="none" w:sz="0" w:space="0" w:color="auto"/>
        <w:left w:val="none" w:sz="0" w:space="0" w:color="auto"/>
        <w:bottom w:val="none" w:sz="0" w:space="0" w:color="auto"/>
        <w:right w:val="none" w:sz="0" w:space="0" w:color="auto"/>
      </w:divBdr>
    </w:div>
    <w:div w:id="950012220">
      <w:bodyDiv w:val="1"/>
      <w:marLeft w:val="0"/>
      <w:marRight w:val="0"/>
      <w:marTop w:val="0"/>
      <w:marBottom w:val="0"/>
      <w:divBdr>
        <w:top w:val="none" w:sz="0" w:space="0" w:color="auto"/>
        <w:left w:val="none" w:sz="0" w:space="0" w:color="auto"/>
        <w:bottom w:val="none" w:sz="0" w:space="0" w:color="auto"/>
        <w:right w:val="none" w:sz="0" w:space="0" w:color="auto"/>
      </w:divBdr>
    </w:div>
    <w:div w:id="1243760458">
      <w:bodyDiv w:val="1"/>
      <w:marLeft w:val="0"/>
      <w:marRight w:val="0"/>
      <w:marTop w:val="0"/>
      <w:marBottom w:val="0"/>
      <w:divBdr>
        <w:top w:val="none" w:sz="0" w:space="0" w:color="auto"/>
        <w:left w:val="none" w:sz="0" w:space="0" w:color="auto"/>
        <w:bottom w:val="none" w:sz="0" w:space="0" w:color="auto"/>
        <w:right w:val="none" w:sz="0" w:space="0" w:color="auto"/>
      </w:divBdr>
      <w:divsChild>
        <w:div w:id="332027985">
          <w:marLeft w:val="547"/>
          <w:marRight w:val="0"/>
          <w:marTop w:val="115"/>
          <w:marBottom w:val="0"/>
          <w:divBdr>
            <w:top w:val="none" w:sz="0" w:space="0" w:color="auto"/>
            <w:left w:val="none" w:sz="0" w:space="0" w:color="auto"/>
            <w:bottom w:val="none" w:sz="0" w:space="0" w:color="auto"/>
            <w:right w:val="none" w:sz="0" w:space="0" w:color="auto"/>
          </w:divBdr>
        </w:div>
        <w:div w:id="32391084">
          <w:marLeft w:val="547"/>
          <w:marRight w:val="0"/>
          <w:marTop w:val="115"/>
          <w:marBottom w:val="0"/>
          <w:divBdr>
            <w:top w:val="none" w:sz="0" w:space="0" w:color="auto"/>
            <w:left w:val="none" w:sz="0" w:space="0" w:color="auto"/>
            <w:bottom w:val="none" w:sz="0" w:space="0" w:color="auto"/>
            <w:right w:val="none" w:sz="0" w:space="0" w:color="auto"/>
          </w:divBdr>
        </w:div>
        <w:div w:id="883295901">
          <w:marLeft w:val="547"/>
          <w:marRight w:val="0"/>
          <w:marTop w:val="115"/>
          <w:marBottom w:val="0"/>
          <w:divBdr>
            <w:top w:val="none" w:sz="0" w:space="0" w:color="auto"/>
            <w:left w:val="none" w:sz="0" w:space="0" w:color="auto"/>
            <w:bottom w:val="none" w:sz="0" w:space="0" w:color="auto"/>
            <w:right w:val="none" w:sz="0" w:space="0" w:color="auto"/>
          </w:divBdr>
        </w:div>
        <w:div w:id="760564493">
          <w:marLeft w:val="547"/>
          <w:marRight w:val="0"/>
          <w:marTop w:val="115"/>
          <w:marBottom w:val="0"/>
          <w:divBdr>
            <w:top w:val="none" w:sz="0" w:space="0" w:color="auto"/>
            <w:left w:val="none" w:sz="0" w:space="0" w:color="auto"/>
            <w:bottom w:val="none" w:sz="0" w:space="0" w:color="auto"/>
            <w:right w:val="none" w:sz="0" w:space="0" w:color="auto"/>
          </w:divBdr>
        </w:div>
        <w:div w:id="1502425542">
          <w:marLeft w:val="547"/>
          <w:marRight w:val="0"/>
          <w:marTop w:val="115"/>
          <w:marBottom w:val="0"/>
          <w:divBdr>
            <w:top w:val="none" w:sz="0" w:space="0" w:color="auto"/>
            <w:left w:val="none" w:sz="0" w:space="0" w:color="auto"/>
            <w:bottom w:val="none" w:sz="0" w:space="0" w:color="auto"/>
            <w:right w:val="none" w:sz="0" w:space="0" w:color="auto"/>
          </w:divBdr>
        </w:div>
        <w:div w:id="1346906420">
          <w:marLeft w:val="547"/>
          <w:marRight w:val="0"/>
          <w:marTop w:val="115"/>
          <w:marBottom w:val="0"/>
          <w:divBdr>
            <w:top w:val="none" w:sz="0" w:space="0" w:color="auto"/>
            <w:left w:val="none" w:sz="0" w:space="0" w:color="auto"/>
            <w:bottom w:val="none" w:sz="0" w:space="0" w:color="auto"/>
            <w:right w:val="none" w:sz="0" w:space="0" w:color="auto"/>
          </w:divBdr>
        </w:div>
      </w:divsChild>
    </w:div>
    <w:div w:id="1521552757">
      <w:bodyDiv w:val="1"/>
      <w:marLeft w:val="0"/>
      <w:marRight w:val="0"/>
      <w:marTop w:val="0"/>
      <w:marBottom w:val="0"/>
      <w:divBdr>
        <w:top w:val="none" w:sz="0" w:space="0" w:color="auto"/>
        <w:left w:val="none" w:sz="0" w:space="0" w:color="auto"/>
        <w:bottom w:val="none" w:sz="0" w:space="0" w:color="auto"/>
        <w:right w:val="none" w:sz="0" w:space="0" w:color="auto"/>
      </w:divBdr>
    </w:div>
    <w:div w:id="1603144091">
      <w:bodyDiv w:val="1"/>
      <w:marLeft w:val="0"/>
      <w:marRight w:val="0"/>
      <w:marTop w:val="0"/>
      <w:marBottom w:val="0"/>
      <w:divBdr>
        <w:top w:val="none" w:sz="0" w:space="0" w:color="auto"/>
        <w:left w:val="none" w:sz="0" w:space="0" w:color="auto"/>
        <w:bottom w:val="none" w:sz="0" w:space="0" w:color="auto"/>
        <w:right w:val="none" w:sz="0" w:space="0" w:color="auto"/>
      </w:divBdr>
    </w:div>
    <w:div w:id="1807772845">
      <w:bodyDiv w:val="1"/>
      <w:marLeft w:val="0"/>
      <w:marRight w:val="0"/>
      <w:marTop w:val="0"/>
      <w:marBottom w:val="0"/>
      <w:divBdr>
        <w:top w:val="none" w:sz="0" w:space="0" w:color="auto"/>
        <w:left w:val="none" w:sz="0" w:space="0" w:color="auto"/>
        <w:bottom w:val="none" w:sz="0" w:space="0" w:color="auto"/>
        <w:right w:val="none" w:sz="0" w:space="0" w:color="auto"/>
      </w:divBdr>
    </w:div>
    <w:div w:id="1972320655">
      <w:bodyDiv w:val="1"/>
      <w:marLeft w:val="0"/>
      <w:marRight w:val="0"/>
      <w:marTop w:val="0"/>
      <w:marBottom w:val="0"/>
      <w:divBdr>
        <w:top w:val="none" w:sz="0" w:space="0" w:color="auto"/>
        <w:left w:val="none" w:sz="0" w:space="0" w:color="auto"/>
        <w:bottom w:val="none" w:sz="0" w:space="0" w:color="auto"/>
        <w:right w:val="none" w:sz="0" w:space="0" w:color="auto"/>
      </w:divBdr>
    </w:div>
    <w:div w:id="2002005035">
      <w:bodyDiv w:val="1"/>
      <w:marLeft w:val="0"/>
      <w:marRight w:val="0"/>
      <w:marTop w:val="0"/>
      <w:marBottom w:val="0"/>
      <w:divBdr>
        <w:top w:val="none" w:sz="0" w:space="0" w:color="auto"/>
        <w:left w:val="none" w:sz="0" w:space="0" w:color="auto"/>
        <w:bottom w:val="none" w:sz="0" w:space="0" w:color="auto"/>
        <w:right w:val="none" w:sz="0" w:space="0" w:color="auto"/>
      </w:divBdr>
    </w:div>
    <w:div w:id="2144612457">
      <w:bodyDiv w:val="1"/>
      <w:marLeft w:val="0"/>
      <w:marRight w:val="0"/>
      <w:marTop w:val="0"/>
      <w:marBottom w:val="0"/>
      <w:divBdr>
        <w:top w:val="none" w:sz="0" w:space="0" w:color="auto"/>
        <w:left w:val="none" w:sz="0" w:space="0" w:color="auto"/>
        <w:bottom w:val="none" w:sz="0" w:space="0" w:color="auto"/>
        <w:right w:val="none" w:sz="0" w:space="0" w:color="auto"/>
      </w:divBdr>
      <w:divsChild>
        <w:div w:id="1634018711">
          <w:marLeft w:val="547"/>
          <w:marRight w:val="0"/>
          <w:marTop w:val="86"/>
          <w:marBottom w:val="0"/>
          <w:divBdr>
            <w:top w:val="none" w:sz="0" w:space="0" w:color="auto"/>
            <w:left w:val="none" w:sz="0" w:space="0" w:color="auto"/>
            <w:bottom w:val="none" w:sz="0" w:space="0" w:color="auto"/>
            <w:right w:val="none" w:sz="0" w:space="0" w:color="auto"/>
          </w:divBdr>
        </w:div>
        <w:div w:id="1913661155">
          <w:marLeft w:val="547"/>
          <w:marRight w:val="0"/>
          <w:marTop w:val="86"/>
          <w:marBottom w:val="0"/>
          <w:divBdr>
            <w:top w:val="none" w:sz="0" w:space="0" w:color="auto"/>
            <w:left w:val="none" w:sz="0" w:space="0" w:color="auto"/>
            <w:bottom w:val="none" w:sz="0" w:space="0" w:color="auto"/>
            <w:right w:val="none" w:sz="0" w:space="0" w:color="auto"/>
          </w:divBdr>
        </w:div>
        <w:div w:id="353966882">
          <w:marLeft w:val="547"/>
          <w:marRight w:val="0"/>
          <w:marTop w:val="86"/>
          <w:marBottom w:val="0"/>
          <w:divBdr>
            <w:top w:val="none" w:sz="0" w:space="0" w:color="auto"/>
            <w:left w:val="none" w:sz="0" w:space="0" w:color="auto"/>
            <w:bottom w:val="none" w:sz="0" w:space="0" w:color="auto"/>
            <w:right w:val="none" w:sz="0" w:space="0" w:color="auto"/>
          </w:divBdr>
        </w:div>
        <w:div w:id="574897878">
          <w:marLeft w:val="547"/>
          <w:marRight w:val="0"/>
          <w:marTop w:val="86"/>
          <w:marBottom w:val="0"/>
          <w:divBdr>
            <w:top w:val="none" w:sz="0" w:space="0" w:color="auto"/>
            <w:left w:val="none" w:sz="0" w:space="0" w:color="auto"/>
            <w:bottom w:val="none" w:sz="0" w:space="0" w:color="auto"/>
            <w:right w:val="none" w:sz="0" w:space="0" w:color="auto"/>
          </w:divBdr>
        </w:div>
        <w:div w:id="394358781">
          <w:marLeft w:val="547"/>
          <w:marRight w:val="0"/>
          <w:marTop w:val="86"/>
          <w:marBottom w:val="0"/>
          <w:divBdr>
            <w:top w:val="none" w:sz="0" w:space="0" w:color="auto"/>
            <w:left w:val="none" w:sz="0" w:space="0" w:color="auto"/>
            <w:bottom w:val="none" w:sz="0" w:space="0" w:color="auto"/>
            <w:right w:val="none" w:sz="0" w:space="0" w:color="auto"/>
          </w:divBdr>
        </w:div>
        <w:div w:id="220334395">
          <w:marLeft w:val="547"/>
          <w:marRight w:val="0"/>
          <w:marTop w:val="86"/>
          <w:marBottom w:val="0"/>
          <w:divBdr>
            <w:top w:val="none" w:sz="0" w:space="0" w:color="auto"/>
            <w:left w:val="none" w:sz="0" w:space="0" w:color="auto"/>
            <w:bottom w:val="none" w:sz="0" w:space="0" w:color="auto"/>
            <w:right w:val="none" w:sz="0" w:space="0" w:color="auto"/>
          </w:divBdr>
        </w:div>
        <w:div w:id="1059938028">
          <w:marLeft w:val="547"/>
          <w:marRight w:val="0"/>
          <w:marTop w:val="86"/>
          <w:marBottom w:val="0"/>
          <w:divBdr>
            <w:top w:val="none" w:sz="0" w:space="0" w:color="auto"/>
            <w:left w:val="none" w:sz="0" w:space="0" w:color="auto"/>
            <w:bottom w:val="none" w:sz="0" w:space="0" w:color="auto"/>
            <w:right w:val="none" w:sz="0" w:space="0" w:color="auto"/>
          </w:divBdr>
        </w:div>
        <w:div w:id="31539091">
          <w:marLeft w:val="547"/>
          <w:marRight w:val="0"/>
          <w:marTop w:val="86"/>
          <w:marBottom w:val="0"/>
          <w:divBdr>
            <w:top w:val="none" w:sz="0" w:space="0" w:color="auto"/>
            <w:left w:val="none" w:sz="0" w:space="0" w:color="auto"/>
            <w:bottom w:val="none" w:sz="0" w:space="0" w:color="auto"/>
            <w:right w:val="none" w:sz="0" w:space="0" w:color="auto"/>
          </w:divBdr>
        </w:div>
        <w:div w:id="43869005">
          <w:marLeft w:val="547"/>
          <w:marRight w:val="0"/>
          <w:marTop w:val="86"/>
          <w:marBottom w:val="0"/>
          <w:divBdr>
            <w:top w:val="none" w:sz="0" w:space="0" w:color="auto"/>
            <w:left w:val="none" w:sz="0" w:space="0" w:color="auto"/>
            <w:bottom w:val="none" w:sz="0" w:space="0" w:color="auto"/>
            <w:right w:val="none" w:sz="0" w:space="0" w:color="auto"/>
          </w:divBdr>
        </w:div>
        <w:div w:id="1932464199">
          <w:marLeft w:val="547"/>
          <w:marRight w:val="0"/>
          <w:marTop w:val="86"/>
          <w:marBottom w:val="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www.youtube.com/watch?v=zSiHjMU-MUo" TargetMode="External"/><Relationship Id="rId20" Type="http://schemas.openxmlformats.org/officeDocument/2006/relationships/chart" Target="charts/chart8.xml"/><Relationship Id="rId21" Type="http://schemas.openxmlformats.org/officeDocument/2006/relationships/image" Target="media/image5.png"/><Relationship Id="rId22" Type="http://schemas.openxmlformats.org/officeDocument/2006/relationships/chart" Target="charts/chart9.xml"/><Relationship Id="rId23" Type="http://schemas.openxmlformats.org/officeDocument/2006/relationships/image" Target="media/image6.png"/><Relationship Id="rId24" Type="http://schemas.openxmlformats.org/officeDocument/2006/relationships/image" Target="media/image7.png"/><Relationship Id="rId25" Type="http://schemas.openxmlformats.org/officeDocument/2006/relationships/image" Target="media/image8.jpeg"/><Relationship Id="rId26" Type="http://schemas.openxmlformats.org/officeDocument/2006/relationships/image" Target="media/image9.jpeg"/><Relationship Id="rId27" Type="http://schemas.openxmlformats.org/officeDocument/2006/relationships/image" Target="media/image10.jpeg"/><Relationship Id="rId28" Type="http://schemas.openxmlformats.org/officeDocument/2006/relationships/image" Target="media/image11.jpeg"/><Relationship Id="rId29" Type="http://schemas.openxmlformats.org/officeDocument/2006/relationships/footer" Target="footer1.xml"/><Relationship Id="rId30" Type="http://schemas.openxmlformats.org/officeDocument/2006/relationships/footer" Target="footer2.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chart" Target="charts/chart1.xml"/><Relationship Id="rId11" Type="http://schemas.openxmlformats.org/officeDocument/2006/relationships/chart" Target="charts/chart2.xml"/><Relationship Id="rId12" Type="http://schemas.openxmlformats.org/officeDocument/2006/relationships/chart" Target="charts/chart3.xml"/><Relationship Id="rId13" Type="http://schemas.openxmlformats.org/officeDocument/2006/relationships/image" Target="media/image2.png"/><Relationship Id="rId14" Type="http://schemas.openxmlformats.org/officeDocument/2006/relationships/chart" Target="charts/chart4.xml"/><Relationship Id="rId15" Type="http://schemas.openxmlformats.org/officeDocument/2006/relationships/chart" Target="charts/chart5.xml"/><Relationship Id="rId16" Type="http://schemas.openxmlformats.org/officeDocument/2006/relationships/chart" Target="charts/chart6.xml"/><Relationship Id="rId17" Type="http://schemas.openxmlformats.org/officeDocument/2006/relationships/image" Target="media/image3.png"/><Relationship Id="rId18" Type="http://schemas.openxmlformats.org/officeDocument/2006/relationships/chart" Target="charts/chart7.xml"/><Relationship Id="rId19" Type="http://schemas.openxmlformats.org/officeDocument/2006/relationships/image" Target="media/image4.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ustainability.berkeley.edu/sites/default/files/Promoting_Sustain_Behavior_Primer.pdf" TargetMode="External"/><Relationship Id="rId2" Type="http://schemas.openxmlformats.org/officeDocument/2006/relationships/hyperlink" Target="http://www.energysavingtrust.org.uk/blog/can-fun-theory-change-way-we-tackle-energy-use"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localhost/Users/diliamurtazina/Desktop/ISEE%20project/Building%20level%20report/FW__Energy_Conservation_links/PPSB%20energy%20data_1.xlsx" TargetMode="External"/></Relationships>
</file>

<file path=word/charts/_rels/chart2.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file://localhost/Users/diliamurtazina/Desktop/ISEE%20project/Building%20level%20report/results/Match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localhost/Users/diliamurtazina/Desktop/ISEE%20project/Building%20level%20report/Month2.xls" TargetMode="External"/></Relationships>
</file>

<file path=word/charts/_rels/chart4.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oleObject" Target="file:///\\localhost\Users\diliamurtazina\Desktop\untitled%20folder%202\Month2.xls" TargetMode="External"/></Relationships>
</file>

<file path=word/charts/_rels/chart5.xml.rels><?xml version="1.0" encoding="UTF-8" standalone="yes"?>
<Relationships xmlns="http://schemas.openxmlformats.org/package/2006/relationships"><Relationship Id="rId1" Type="http://schemas.microsoft.com/office/2011/relationships/chartStyle" Target="style3.xml"/><Relationship Id="rId2" Type="http://schemas.microsoft.com/office/2011/relationships/chartColorStyle" Target="colors3.xml"/><Relationship Id="rId3" Type="http://schemas.openxmlformats.org/officeDocument/2006/relationships/oleObject" Target="file://localhost/Users/diliamurtazina/Desktop/Month2.xls" TargetMode="External"/></Relationships>
</file>

<file path=word/charts/_rels/chart6.xml.rels><?xml version="1.0" encoding="UTF-8" standalone="yes"?>
<Relationships xmlns="http://schemas.openxmlformats.org/package/2006/relationships"><Relationship Id="rId1" Type="http://schemas.microsoft.com/office/2011/relationships/chartStyle" Target="style4.xml"/><Relationship Id="rId2" Type="http://schemas.microsoft.com/office/2011/relationships/chartColorStyle" Target="colors4.xml"/><Relationship Id="rId3" Type="http://schemas.openxmlformats.org/officeDocument/2006/relationships/oleObject" Target="file://localhost/Users/diliamurtazina/Desktop/ISEE%20project/soybean.xlsx" TargetMode="External"/></Relationships>
</file>

<file path=word/charts/_rels/chart7.xml.rels><?xml version="1.0" encoding="UTF-8" standalone="yes"?>
<Relationships xmlns="http://schemas.openxmlformats.org/package/2006/relationships"><Relationship Id="rId1" Type="http://schemas.microsoft.com/office/2011/relationships/chartStyle" Target="style5.xml"/><Relationship Id="rId2" Type="http://schemas.microsoft.com/office/2011/relationships/chartColorStyle" Target="colors5.xml"/><Relationship Id="rId3" Type="http://schemas.openxmlformats.org/officeDocument/2006/relationships/oleObject" Target="file://localhost/Users/diliamurtazina/Desktop/ISEE%20project/soybean.xlsx" TargetMode="External"/></Relationships>
</file>

<file path=word/charts/_rels/chart8.xml.rels><?xml version="1.0" encoding="UTF-8" standalone="yes"?>
<Relationships xmlns="http://schemas.openxmlformats.org/package/2006/relationships"><Relationship Id="rId1" Type="http://schemas.microsoft.com/office/2011/relationships/chartStyle" Target="style6.xml"/><Relationship Id="rId2" Type="http://schemas.microsoft.com/office/2011/relationships/chartColorStyle" Target="colors6.xml"/><Relationship Id="rId3" Type="http://schemas.openxmlformats.org/officeDocument/2006/relationships/oleObject" Target="file://localhost/Users/diliamurtazina/Desktop/ISEE%20project/soybean.xlsx" TargetMode="External"/></Relationships>
</file>

<file path=word/charts/_rels/chart9.xml.rels><?xml version="1.0" encoding="UTF-8" standalone="yes"?>
<Relationships xmlns="http://schemas.openxmlformats.org/package/2006/relationships"><Relationship Id="rId1" Type="http://schemas.microsoft.com/office/2011/relationships/chartStyle" Target="style7.xml"/><Relationship Id="rId2" Type="http://schemas.microsoft.com/office/2011/relationships/chartColorStyle" Target="colors7.xml"/><Relationship Id="rId3" Type="http://schemas.openxmlformats.org/officeDocument/2006/relationships/oleObject" Target="file://localhost/Users/diliamurtazina/Desktop/ISEE%20project/soybea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Annual</a:t>
            </a:r>
            <a:r>
              <a:rPr lang="en-US" baseline="0"/>
              <a:t> consumption (kBtu)</a:t>
            </a:r>
            <a:endParaRPr lang="ru-RU"/>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Sheet1!$K$4</c:f>
              <c:strCache>
                <c:ptCount val="1"/>
                <c:pt idx="0">
                  <c:v>Electricity </c:v>
                </c:pt>
              </c:strCache>
            </c:strRef>
          </c:tx>
          <c:spPr>
            <a:solidFill>
              <a:srgbClr val="FFF005"/>
            </a:solidFill>
          </c:spPr>
          <c:invertIfNegative val="0"/>
          <c:cat>
            <c:strRef>
              <c:f>Sheet1!$J$5:$J$14</c:f>
              <c:strCache>
                <c:ptCount val="10"/>
                <c:pt idx="0">
                  <c:v>2008</c:v>
                </c:pt>
                <c:pt idx="1">
                  <c:v>2009</c:v>
                </c:pt>
                <c:pt idx="2">
                  <c:v>2010</c:v>
                </c:pt>
                <c:pt idx="3">
                  <c:v>2011</c:v>
                </c:pt>
                <c:pt idx="4">
                  <c:v>2012</c:v>
                </c:pt>
                <c:pt idx="5">
                  <c:v>2013</c:v>
                </c:pt>
                <c:pt idx="6">
                  <c:v>2014</c:v>
                </c:pt>
                <c:pt idx="7">
                  <c:v>2015</c:v>
                </c:pt>
                <c:pt idx="8">
                  <c:v>2016</c:v>
                </c:pt>
                <c:pt idx="9">
                  <c:v>Target </c:v>
                </c:pt>
              </c:strCache>
            </c:strRef>
          </c:cat>
          <c:val>
            <c:numRef>
              <c:f>Sheet1!$K$5:$K$14</c:f>
              <c:numCache>
                <c:formatCode>_(* #,##0.00_);_(* \(#,##0.00\);_(* "-"??_);_(@_)</c:formatCode>
                <c:ptCount val="10"/>
                <c:pt idx="0">
                  <c:v>6.35022760488215E6</c:v>
                </c:pt>
                <c:pt idx="1">
                  <c:v>6.11056218871288E6</c:v>
                </c:pt>
                <c:pt idx="2">
                  <c:v>5.50265162321317E6</c:v>
                </c:pt>
                <c:pt idx="3">
                  <c:v>3.64371686148507E6</c:v>
                </c:pt>
                <c:pt idx="4">
                  <c:v>2.79818816479596E6</c:v>
                </c:pt>
                <c:pt idx="5">
                  <c:v>2.56479767709001E6</c:v>
                </c:pt>
                <c:pt idx="6">
                  <c:v>5.9022733393081E6</c:v>
                </c:pt>
                <c:pt idx="7">
                  <c:v>6.555921738952E6</c:v>
                </c:pt>
                <c:pt idx="8">
                  <c:v>6.05181814417145E6</c:v>
                </c:pt>
                <c:pt idx="9">
                  <c:v>3.53734557109195E6</c:v>
                </c:pt>
              </c:numCache>
            </c:numRef>
          </c:val>
        </c:ser>
        <c:ser>
          <c:idx val="1"/>
          <c:order val="1"/>
          <c:tx>
            <c:strRef>
              <c:f>Sheet1!$L$4</c:f>
              <c:strCache>
                <c:ptCount val="1"/>
                <c:pt idx="0">
                  <c:v>Chilled water</c:v>
                </c:pt>
              </c:strCache>
            </c:strRef>
          </c:tx>
          <c:spPr>
            <a:solidFill>
              <a:srgbClr val="3366FF"/>
            </a:solidFill>
          </c:spPr>
          <c:invertIfNegative val="0"/>
          <c:cat>
            <c:strRef>
              <c:f>Sheet1!$J$5:$J$14</c:f>
              <c:strCache>
                <c:ptCount val="10"/>
                <c:pt idx="0">
                  <c:v>2008</c:v>
                </c:pt>
                <c:pt idx="1">
                  <c:v>2009</c:v>
                </c:pt>
                <c:pt idx="2">
                  <c:v>2010</c:v>
                </c:pt>
                <c:pt idx="3">
                  <c:v>2011</c:v>
                </c:pt>
                <c:pt idx="4">
                  <c:v>2012</c:v>
                </c:pt>
                <c:pt idx="5">
                  <c:v>2013</c:v>
                </c:pt>
                <c:pt idx="6">
                  <c:v>2014</c:v>
                </c:pt>
                <c:pt idx="7">
                  <c:v>2015</c:v>
                </c:pt>
                <c:pt idx="8">
                  <c:v>2016</c:v>
                </c:pt>
                <c:pt idx="9">
                  <c:v>Target </c:v>
                </c:pt>
              </c:strCache>
            </c:strRef>
          </c:cat>
          <c:val>
            <c:numRef>
              <c:f>Sheet1!$L$5:$L$14</c:f>
              <c:numCache>
                <c:formatCode>General</c:formatCode>
                <c:ptCount val="10"/>
                <c:pt idx="0">
                  <c:v>0.0</c:v>
                </c:pt>
                <c:pt idx="1">
                  <c:v>0.0</c:v>
                </c:pt>
                <c:pt idx="2">
                  <c:v>0.0</c:v>
                </c:pt>
                <c:pt idx="3">
                  <c:v>0.0</c:v>
                </c:pt>
                <c:pt idx="4" formatCode="_(* #,##0.00_);_(* \(#,##0.00\);_(* &quot;-&quot;??_);_(@_)">
                  <c:v>2.33343E6</c:v>
                </c:pt>
                <c:pt idx="5" formatCode="_(* #,##0.00_);_(* \(#,##0.00\);_(* &quot;-&quot;??_);_(@_)">
                  <c:v>4.07232E6</c:v>
                </c:pt>
                <c:pt idx="6" formatCode="_(* #,##0.00_);_(* \(#,##0.00\);_(* &quot;-&quot;??_);_(@_)">
                  <c:v>4.911904E6</c:v>
                </c:pt>
                <c:pt idx="7" formatCode="_(* #,##0.00_);_(* \(#,##0.00\);_(* &quot;-&quot;??_);_(@_)">
                  <c:v>4.59183E6</c:v>
                </c:pt>
                <c:pt idx="8" formatCode="_(* #,##0.00_);_(* \(#,##0.00\);_(* &quot;-&quot;??_);_(@_)">
                  <c:v>4.3236E6</c:v>
                </c:pt>
                <c:pt idx="9" formatCode="_(* #,##0.00_);_(* \(#,##0.00\);_(* &quot;-&quot;??_);_(@_)">
                  <c:v>2.83263176E6</c:v>
                </c:pt>
              </c:numCache>
            </c:numRef>
          </c:val>
        </c:ser>
        <c:ser>
          <c:idx val="2"/>
          <c:order val="2"/>
          <c:tx>
            <c:strRef>
              <c:f>Sheet1!$M$4</c:f>
              <c:strCache>
                <c:ptCount val="1"/>
                <c:pt idx="0">
                  <c:v>Steam </c:v>
                </c:pt>
              </c:strCache>
            </c:strRef>
          </c:tx>
          <c:spPr>
            <a:solidFill>
              <a:srgbClr val="FF0000"/>
            </a:solidFill>
          </c:spPr>
          <c:invertIfNegative val="0"/>
          <c:cat>
            <c:strRef>
              <c:f>Sheet1!$J$5:$J$14</c:f>
              <c:strCache>
                <c:ptCount val="10"/>
                <c:pt idx="0">
                  <c:v>2008</c:v>
                </c:pt>
                <c:pt idx="1">
                  <c:v>2009</c:v>
                </c:pt>
                <c:pt idx="2">
                  <c:v>2010</c:v>
                </c:pt>
                <c:pt idx="3">
                  <c:v>2011</c:v>
                </c:pt>
                <c:pt idx="4">
                  <c:v>2012</c:v>
                </c:pt>
                <c:pt idx="5">
                  <c:v>2013</c:v>
                </c:pt>
                <c:pt idx="6">
                  <c:v>2014</c:v>
                </c:pt>
                <c:pt idx="7">
                  <c:v>2015</c:v>
                </c:pt>
                <c:pt idx="8">
                  <c:v>2016</c:v>
                </c:pt>
                <c:pt idx="9">
                  <c:v>Target </c:v>
                </c:pt>
              </c:strCache>
            </c:strRef>
          </c:cat>
          <c:val>
            <c:numRef>
              <c:f>Sheet1!$M$5:$M$14</c:f>
              <c:numCache>
                <c:formatCode>_(* #,##0.00_);_(* \(#,##0.00\);_(* "-"??_);_(@_)</c:formatCode>
                <c:ptCount val="10"/>
                <c:pt idx="0">
                  <c:v>1.6476271068E7</c:v>
                </c:pt>
                <c:pt idx="1">
                  <c:v>1.5724391358E7</c:v>
                </c:pt>
                <c:pt idx="2">
                  <c:v>1.738305198E7</c:v>
                </c:pt>
                <c:pt idx="3">
                  <c:v>1.4857749144E7</c:v>
                </c:pt>
                <c:pt idx="4">
                  <c:v>1.096764819E7</c:v>
                </c:pt>
                <c:pt idx="5">
                  <c:v>1.240538538E7</c:v>
                </c:pt>
                <c:pt idx="6">
                  <c:v>1.313712828E7</c:v>
                </c:pt>
                <c:pt idx="7">
                  <c:v>1.1867166E7</c:v>
                </c:pt>
                <c:pt idx="8">
                  <c:v>1.052450106E7</c:v>
                </c:pt>
                <c:pt idx="9">
                  <c:v>9.59336719133333E6</c:v>
                </c:pt>
              </c:numCache>
            </c:numRef>
          </c:val>
        </c:ser>
        <c:ser>
          <c:idx val="3"/>
          <c:order val="3"/>
          <c:tx>
            <c:strRef>
              <c:f>Sheet1!$N$4</c:f>
              <c:strCache>
                <c:ptCount val="1"/>
                <c:pt idx="0">
                  <c:v>Gas </c:v>
                </c:pt>
              </c:strCache>
            </c:strRef>
          </c:tx>
          <c:spPr>
            <a:solidFill>
              <a:schemeClr val="tx1"/>
            </a:solidFill>
          </c:spPr>
          <c:invertIfNegative val="0"/>
          <c:cat>
            <c:strRef>
              <c:f>Sheet1!$J$5:$J$14</c:f>
              <c:strCache>
                <c:ptCount val="10"/>
                <c:pt idx="0">
                  <c:v>2008</c:v>
                </c:pt>
                <c:pt idx="1">
                  <c:v>2009</c:v>
                </c:pt>
                <c:pt idx="2">
                  <c:v>2010</c:v>
                </c:pt>
                <c:pt idx="3">
                  <c:v>2011</c:v>
                </c:pt>
                <c:pt idx="4">
                  <c:v>2012</c:v>
                </c:pt>
                <c:pt idx="5">
                  <c:v>2013</c:v>
                </c:pt>
                <c:pt idx="6">
                  <c:v>2014</c:v>
                </c:pt>
                <c:pt idx="7">
                  <c:v>2015</c:v>
                </c:pt>
                <c:pt idx="8">
                  <c:v>2016</c:v>
                </c:pt>
                <c:pt idx="9">
                  <c:v>Target </c:v>
                </c:pt>
              </c:strCache>
            </c:strRef>
          </c:cat>
          <c:val>
            <c:numRef>
              <c:f>Sheet1!$N$5:$N$14</c:f>
              <c:numCache>
                <c:formatCode>_(* #,##0.00_);_(* \(#,##0.00\);_(* "-"??_);_(@_)</c:formatCode>
                <c:ptCount val="10"/>
                <c:pt idx="0">
                  <c:v>66432.0</c:v>
                </c:pt>
                <c:pt idx="1">
                  <c:v>53256.0</c:v>
                </c:pt>
                <c:pt idx="2">
                  <c:v>38880.0</c:v>
                </c:pt>
                <c:pt idx="3">
                  <c:v>99144.0</c:v>
                </c:pt>
                <c:pt idx="4">
                  <c:v>47208.0</c:v>
                </c:pt>
                <c:pt idx="5">
                  <c:v>31476.0</c:v>
                </c:pt>
                <c:pt idx="6">
                  <c:v>3384.0</c:v>
                </c:pt>
                <c:pt idx="7">
                  <c:v>48.0</c:v>
                </c:pt>
                <c:pt idx="8">
                  <c:v>48.0</c:v>
                </c:pt>
                <c:pt idx="9">
                  <c:v>26434.8</c:v>
                </c:pt>
              </c:numCache>
            </c:numRef>
          </c:val>
        </c:ser>
        <c:dLbls>
          <c:showLegendKey val="0"/>
          <c:showVal val="0"/>
          <c:showCatName val="0"/>
          <c:showSerName val="0"/>
          <c:showPercent val="0"/>
          <c:showBubbleSize val="0"/>
        </c:dLbls>
        <c:gapWidth val="150"/>
        <c:shape val="box"/>
        <c:axId val="1719251584"/>
        <c:axId val="1711793456"/>
        <c:axId val="0"/>
      </c:bar3DChart>
      <c:catAx>
        <c:axId val="1719251584"/>
        <c:scaling>
          <c:orientation val="minMax"/>
        </c:scaling>
        <c:delete val="0"/>
        <c:axPos val="b"/>
        <c:numFmt formatCode="General" sourceLinked="0"/>
        <c:majorTickMark val="out"/>
        <c:minorTickMark val="none"/>
        <c:tickLblPos val="nextTo"/>
        <c:crossAx val="1711793456"/>
        <c:crosses val="autoZero"/>
        <c:auto val="1"/>
        <c:lblAlgn val="ctr"/>
        <c:lblOffset val="100"/>
        <c:noMultiLvlLbl val="0"/>
      </c:catAx>
      <c:valAx>
        <c:axId val="1711793456"/>
        <c:scaling>
          <c:orientation val="minMax"/>
        </c:scaling>
        <c:delete val="0"/>
        <c:axPos val="l"/>
        <c:majorGridlines/>
        <c:numFmt formatCode="_(* #,##0_);_(* \(#,##0\);_(* &quot;-&quot;_);_(@_)" sourceLinked="0"/>
        <c:majorTickMark val="out"/>
        <c:minorTickMark val="none"/>
        <c:tickLblPos val="nextTo"/>
        <c:txPr>
          <a:bodyPr/>
          <a:lstStyle/>
          <a:p>
            <a:pPr>
              <a:defRPr sz="1000" b="0"/>
            </a:pPr>
            <a:endParaRPr lang="en-US"/>
          </a:p>
        </c:txPr>
        <c:crossAx val="1719251584"/>
        <c:crosses val="autoZero"/>
        <c:crossBetween val="between"/>
      </c:valAx>
    </c:plotArea>
    <c:legend>
      <c:legendPos val="r"/>
      <c:layout>
        <c:manualLayout>
          <c:xMode val="edge"/>
          <c:yMode val="edge"/>
          <c:x val="0.848013757895648"/>
          <c:y val="0.273196409889323"/>
          <c:w val="0.133671223789334"/>
          <c:h val="0.280879907494081"/>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Results</a:t>
            </a:r>
          </a:p>
        </c:rich>
      </c:tx>
      <c:layout>
        <c:manualLayout>
          <c:xMode val="edge"/>
          <c:yMode val="edge"/>
          <c:x val="0.444108369432544"/>
          <c:y val="0.0236686390532544"/>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areaChart>
        <c:grouping val="stacked"/>
        <c:varyColors val="0"/>
        <c:ser>
          <c:idx val="0"/>
          <c:order val="0"/>
          <c:tx>
            <c:strRef>
              <c:f>Sheet1!$C$1</c:f>
              <c:strCache>
                <c:ptCount val="1"/>
                <c:pt idx="0">
                  <c:v>2008</c:v>
                </c:pt>
              </c:strCache>
            </c:strRef>
          </c:tx>
          <c:spPr>
            <a:solidFill>
              <a:schemeClr val="accent1"/>
            </a:solidFill>
            <a:ln>
              <a:noFill/>
            </a:ln>
            <a:effectLst/>
          </c:spPr>
          <c:cat>
            <c:strRef>
              <c:f>Sheet1!$B$1:$B$179</c:f>
              <c:strCache>
                <c:ptCount val="179"/>
                <c:pt idx="0">
                  <c:v>Building</c:v>
                </c:pt>
                <c:pt idx="1">
                  <c:v>Roger Adams Laboratory</c:v>
                </c:pt>
                <c:pt idx="2">
                  <c:v>Advanced Computation Bldg</c:v>
                </c:pt>
                <c:pt idx="3">
                  <c:v>Beckman Institute</c:v>
                </c:pt>
                <c:pt idx="4">
                  <c:v>Vet Med Basic Science Bldg</c:v>
                </c:pt>
                <c:pt idx="5">
                  <c:v>Veterinary Teaching Hospital (lac/sac)</c:v>
                </c:pt>
                <c:pt idx="6">
                  <c:v>Micro/Nano Laboratory</c:v>
                </c:pt>
                <c:pt idx="7">
                  <c:v>Institute For Genomic Biology Building</c:v>
                </c:pt>
                <c:pt idx="8">
                  <c:v>Siebel Ctr For Computer Sci., Thomas M.</c:v>
                </c:pt>
                <c:pt idx="9">
                  <c:v>Chem &amp; Life Science Lab</c:v>
                </c:pt>
                <c:pt idx="10">
                  <c:v>Madigan Lab, Edward R.</c:v>
                </c:pt>
                <c:pt idx="11">
                  <c:v>Digital Computer Lab</c:v>
                </c:pt>
                <c:pt idx="12">
                  <c:v>Illini Union</c:v>
                </c:pt>
                <c:pt idx="13">
                  <c:v>Mat Res Lab, Frederick Seitz</c:v>
                </c:pt>
                <c:pt idx="14">
                  <c:v>Loomis Lab</c:v>
                </c:pt>
                <c:pt idx="15">
                  <c:v>Library</c:v>
                </c:pt>
                <c:pt idx="16">
                  <c:v>Burrill Hall</c:v>
                </c:pt>
                <c:pt idx="17">
                  <c:v>Psychology Lab</c:v>
                </c:pt>
                <c:pt idx="18">
                  <c:v>Morrill Hall</c:v>
                </c:pt>
                <c:pt idx="19">
                  <c:v>Farh Food Service</c:v>
                </c:pt>
                <c:pt idx="20">
                  <c:v>Krannert Center For Perf Art</c:v>
                </c:pt>
                <c:pt idx="21">
                  <c:v>Coordinated Sciences Lab</c:v>
                </c:pt>
                <c:pt idx="22">
                  <c:v>Engineering Sciences Bldg</c:v>
                </c:pt>
                <c:pt idx="23">
                  <c:v>Medical Sciences Building</c:v>
                </c:pt>
                <c:pt idx="24">
                  <c:v>Turner Hall</c:v>
                </c:pt>
                <c:pt idx="25">
                  <c:v>Mechanical Engineering Lab</c:v>
                </c:pt>
                <c:pt idx="26">
                  <c:v>Civil Eng Bldg, N. Newmark</c:v>
                </c:pt>
                <c:pt idx="27">
                  <c:v>Electrical And Computer Engineering, Everitt</c:v>
                </c:pt>
                <c:pt idx="28">
                  <c:v>Administration Bldg</c:v>
                </c:pt>
                <c:pt idx="29">
                  <c:v>Foreign Languages Bl</c:v>
                </c:pt>
                <c:pt idx="30">
                  <c:v>Bevier Hall</c:v>
                </c:pt>
                <c:pt idx="31">
                  <c:v>Wohlers Hall (commerce West)</c:v>
                </c:pt>
                <c:pt idx="32">
                  <c:v>Noyes Lab Of Chem</c:v>
                </c:pt>
                <c:pt idx="33">
                  <c:v>Undergraduate Library</c:v>
                </c:pt>
                <c:pt idx="34">
                  <c:v>Assembly Hall</c:v>
                </c:pt>
                <c:pt idx="35">
                  <c:v>National Center For Supercomputing Applications</c:v>
                </c:pt>
                <c:pt idx="36">
                  <c:v>Animal Sciences Lab</c:v>
                </c:pt>
                <c:pt idx="37">
                  <c:v>Activities &amp; Recreation Center</c:v>
                </c:pt>
                <c:pt idx="38">
                  <c:v>Sgrh Sherman Hall</c:v>
                </c:pt>
                <c:pt idx="39">
                  <c:v>Davenport Hall</c:v>
                </c:pt>
                <c:pt idx="40">
                  <c:v>Education Building</c:v>
                </c:pt>
                <c:pt idx="41">
                  <c:v>National Soybean Research Center (nsrc)</c:v>
                </c:pt>
                <c:pt idx="42">
                  <c:v>Campus Recreation Cntr-east</c:v>
                </c:pt>
                <c:pt idx="43">
                  <c:v>Aces Library, Information And Alumni Center</c:v>
                </c:pt>
                <c:pt idx="44">
                  <c:v>Armory</c:v>
                </c:pt>
                <c:pt idx="45">
                  <c:v>Music Building</c:v>
                </c:pt>
                <c:pt idx="46">
                  <c:v>Law Building</c:v>
                </c:pt>
                <c:pt idx="47">
                  <c:v>Grainger Engr Lib Info Centr</c:v>
                </c:pt>
                <c:pt idx="48">
                  <c:v>Plant Sciences</c:v>
                </c:pt>
                <c:pt idx="49">
                  <c:v>Agriculture Engr Sci Bldg</c:v>
                </c:pt>
                <c:pt idx="50">
                  <c:v>Mechanical Engineering Bldg</c:v>
                </c:pt>
                <c:pt idx="51">
                  <c:v>Engineering Hall</c:v>
                </c:pt>
                <c:pt idx="52">
                  <c:v>Stadium</c:v>
                </c:pt>
                <c:pt idx="53">
                  <c:v>Illini Union Bookstore</c:v>
                </c:pt>
                <c:pt idx="54">
                  <c:v>Physical Plant Service Bldg</c:v>
                </c:pt>
                <c:pt idx="55">
                  <c:v>Parh Sw-2 Penn Lounge Bldg</c:v>
                </c:pt>
                <c:pt idx="56">
                  <c:v>Smith Memorial Hall</c:v>
                </c:pt>
                <c:pt idx="57">
                  <c:v>Gregory Hall</c:v>
                </c:pt>
                <c:pt idx="58">
                  <c:v>Spurlock Museum</c:v>
                </c:pt>
                <c:pt idx="59">
                  <c:v>Altgeld Hall</c:v>
                </c:pt>
                <c:pt idx="60">
                  <c:v>Ice Arena</c:v>
                </c:pt>
                <c:pt idx="61">
                  <c:v>Mckinley Health Center</c:v>
                </c:pt>
                <c:pt idx="62">
                  <c:v>Natural History Building</c:v>
                </c:pt>
                <c:pt idx="63">
                  <c:v>Turner Hall Greenhouse</c:v>
                </c:pt>
                <c:pt idx="64">
                  <c:v>Talbot Laboratory</c:v>
                </c:pt>
                <c:pt idx="65">
                  <c:v>North Campus Parking Deck</c:v>
                </c:pt>
                <c:pt idx="66">
                  <c:v>Huff Hall</c:v>
                </c:pt>
                <c:pt idx="67">
                  <c:v>Isrh Wardall Hall</c:v>
                </c:pt>
                <c:pt idx="68">
                  <c:v>Freer Hall, Louise</c:v>
                </c:pt>
                <c:pt idx="69">
                  <c:v>Isrh Illinois St Lounge</c:v>
                </c:pt>
                <c:pt idx="70">
                  <c:v>Natural Resources Building</c:v>
                </c:pt>
                <c:pt idx="71">
                  <c:v>Lincoln Ave Res Hall</c:v>
                </c:pt>
                <c:pt idx="72">
                  <c:v>Sgrh Daniels Hall, Arthur</c:v>
                </c:pt>
                <c:pt idx="73">
                  <c:v>Alice Campbell Alumni Center</c:v>
                </c:pt>
                <c:pt idx="74">
                  <c:v>Lincoln Hall</c:v>
                </c:pt>
                <c:pt idx="75">
                  <c:v>Chemistry Annex</c:v>
                </c:pt>
                <c:pt idx="76">
                  <c:v>David Kinley Hall</c:v>
                </c:pt>
                <c:pt idx="77">
                  <c:v>Materials Science And Engineering Building</c:v>
                </c:pt>
                <c:pt idx="78">
                  <c:v>Allen Residence Hall</c:v>
                </c:pt>
                <c:pt idx="79">
                  <c:v>Housing Food Stores</c:v>
                </c:pt>
                <c:pt idx="80">
                  <c:v>Irwin Indoor Football Facility</c:v>
                </c:pt>
                <c:pt idx="81">
                  <c:v>Temple Hoyne Buell Hall</c:v>
                </c:pt>
                <c:pt idx="82">
                  <c:v>Art &amp; Design Bldg</c:v>
                </c:pt>
                <c:pt idx="83">
                  <c:v>Printing &amp; Photographic Services</c:v>
                </c:pt>
                <c:pt idx="84">
                  <c:v>Krannert Art Museum</c:v>
                </c:pt>
                <c:pt idx="85">
                  <c:v>Auditorium, Foellinger</c:v>
                </c:pt>
                <c:pt idx="86">
                  <c:v>Burnsides Res Lab</c:v>
                </c:pt>
                <c:pt idx="87">
                  <c:v>Fourth St Clark Hall</c:v>
                </c:pt>
                <c:pt idx="88">
                  <c:v>Admissions &amp; Records Bldg</c:v>
                </c:pt>
                <c:pt idx="89">
                  <c:v>Enterprise Works At Illinois</c:v>
                </c:pt>
                <c:pt idx="90">
                  <c:v>Student Service Bldg</c:v>
                </c:pt>
                <c:pt idx="91">
                  <c:v>Business Instructional Facility</c:v>
                </c:pt>
                <c:pt idx="92">
                  <c:v>Transportation Bldg</c:v>
                </c:pt>
                <c:pt idx="93">
                  <c:v>Levis Faculty Center</c:v>
                </c:pt>
                <c:pt idx="94">
                  <c:v>Computing Applic Bldg</c:v>
                </c:pt>
                <c:pt idx="95">
                  <c:v>Airport New Terminal</c:v>
                </c:pt>
                <c:pt idx="96">
                  <c:v>"z" Building</c:v>
                </c:pt>
                <c:pt idx="97">
                  <c:v>Supercond Cntr Mrl/csl Brdge</c:v>
                </c:pt>
                <c:pt idx="98">
                  <c:v>English Building</c:v>
                </c:pt>
                <c:pt idx="99">
                  <c:v>Early Child Development Laboratory</c:v>
                </c:pt>
                <c:pt idx="100">
                  <c:v>Mumford Hall</c:v>
                </c:pt>
                <c:pt idx="101">
                  <c:v>Rehabilitation Ctr</c:v>
                </c:pt>
                <c:pt idx="102">
                  <c:v>Busey Hall</c:v>
                </c:pt>
                <c:pt idx="103">
                  <c:v>Gregory Place I</c:v>
                </c:pt>
                <c:pt idx="104">
                  <c:v>Z-2 Building</c:v>
                </c:pt>
                <c:pt idx="105">
                  <c:v>Evans Hall</c:v>
                </c:pt>
                <c:pt idx="106">
                  <c:v>Agriculture Bioprocess Lab</c:v>
                </c:pt>
                <c:pt idx="107">
                  <c:v>Isrh Illinois St Food Ser</c:v>
                </c:pt>
                <c:pt idx="108">
                  <c:v>Student Services Arcade Building</c:v>
                </c:pt>
                <c:pt idx="109">
                  <c:v>Vet Med Surgery &amp; Obstet Lab</c:v>
                </c:pt>
                <c:pt idx="110">
                  <c:v>Motorola Building</c:v>
                </c:pt>
                <c:pt idx="111">
                  <c:v>Library &amp; Information Sci</c:v>
                </c:pt>
                <c:pt idx="112">
                  <c:v>Speech &amp; Hearing Cl</c:v>
                </c:pt>
                <c:pt idx="113">
                  <c:v>Harker Hall</c:v>
                </c:pt>
                <c:pt idx="114">
                  <c:v>Hydrosystems Lab C E</c:v>
                </c:pt>
                <c:pt idx="115">
                  <c:v>Campbell Hall</c:v>
                </c:pt>
                <c:pt idx="116">
                  <c:v>Atkins Tennis Center</c:v>
                </c:pt>
                <c:pt idx="117">
                  <c:v>Instit Of Labor &amp; Indus Rel</c:v>
                </c:pt>
                <c:pt idx="118">
                  <c:v>Waste Management And Research Laboratory</c:v>
                </c:pt>
                <c:pt idx="119">
                  <c:v>Student Staff Apts</c:v>
                </c:pt>
                <c:pt idx="120">
                  <c:v>Architecture Bldg</c:v>
                </c:pt>
                <c:pt idx="121">
                  <c:v>Illini Hall</c:v>
                </c:pt>
                <c:pt idx="122">
                  <c:v>Flagg Hall</c:v>
                </c:pt>
                <c:pt idx="123">
                  <c:v>Forbes Natural History Bldg</c:v>
                </c:pt>
                <c:pt idx="124">
                  <c:v>University High School</c:v>
                </c:pt>
                <c:pt idx="125">
                  <c:v>Bielfeldt Athletic Admin Bldg</c:v>
                </c:pt>
                <c:pt idx="126">
                  <c:v>Nuclear Physic Lab</c:v>
                </c:pt>
                <c:pt idx="127">
                  <c:v>Fourth St Van Doren Hall</c:v>
                </c:pt>
                <c:pt idx="128">
                  <c:v>Stock Pavilion</c:v>
                </c:pt>
                <c:pt idx="129">
                  <c:v>Art-east Annex Studio 1</c:v>
                </c:pt>
                <c:pt idx="130">
                  <c:v>Biomedical Imaging Center</c:v>
                </c:pt>
                <c:pt idx="131">
                  <c:v>Meat Science Lab</c:v>
                </c:pt>
                <c:pt idx="132">
                  <c:v>Child Dev, Home Ec</c:v>
                </c:pt>
                <c:pt idx="133">
                  <c:v>Natural Res Studies Annx</c:v>
                </c:pt>
                <c:pt idx="134">
                  <c:v>Vivarium, Victor E S</c:v>
                </c:pt>
                <c:pt idx="135">
                  <c:v>Kenney Gym</c:v>
                </c:pt>
                <c:pt idx="136">
                  <c:v>I-cyt</c:v>
                </c:pt>
                <c:pt idx="137">
                  <c:v>International Studies Bldg</c:v>
                </c:pt>
                <c:pt idx="138">
                  <c:v>Administrative Information Technology Bldg (aiss)</c:v>
                </c:pt>
                <c:pt idx="139">
                  <c:v>2021 S. First Street</c:v>
                </c:pt>
                <c:pt idx="140">
                  <c:v>Band Building, Harding</c:v>
                </c:pt>
                <c:pt idx="141">
                  <c:v>Ceramics Kiln House</c:v>
                </c:pt>
                <c:pt idx="142">
                  <c:v>Parking Garage</c:v>
                </c:pt>
                <c:pt idx="143">
                  <c:v>Oak Street Library Facility</c:v>
                </c:pt>
                <c:pt idx="144">
                  <c:v>Noble Hall</c:v>
                </c:pt>
                <c:pt idx="145">
                  <c:v>Childrens Res Ctr</c:v>
                </c:pt>
                <c:pt idx="146">
                  <c:v>Gregory Place Ii</c:v>
                </c:pt>
                <c:pt idx="147">
                  <c:v>Airport Inst Of Aviat Admin</c:v>
                </c:pt>
                <c:pt idx="148">
                  <c:v>Optical Physics And Engineering Building</c:v>
                </c:pt>
                <c:pt idx="149">
                  <c:v>Student Staff Apts #2</c:v>
                </c:pt>
                <c:pt idx="150">
                  <c:v>Geological Survey Lab</c:v>
                </c:pt>
                <c:pt idx="151">
                  <c:v>Christopher Hall</c:v>
                </c:pt>
                <c:pt idx="152">
                  <c:v>The Richard T. Ubben Basketball Complex</c:v>
                </c:pt>
                <c:pt idx="153">
                  <c:v>Swanlund Admin Bldg</c:v>
                </c:pt>
                <c:pt idx="154">
                  <c:v>Public Safety Building</c:v>
                </c:pt>
                <c:pt idx="155">
                  <c:v>Astronomy Bldg</c:v>
                </c:pt>
                <c:pt idx="156">
                  <c:v>Coble Hall</c:v>
                </c:pt>
                <c:pt idx="157">
                  <c:v>Central Rec Bldg</c:v>
                </c:pt>
                <c:pt idx="158">
                  <c:v>Ceramics Building</c:v>
                </c:pt>
                <c:pt idx="159">
                  <c:v>1004 S. Fourth, Champaign</c:v>
                </c:pt>
                <c:pt idx="160">
                  <c:v>111 E. Green St., Champaign</c:v>
                </c:pt>
                <c:pt idx="161">
                  <c:v>Personnel Services Bldg</c:v>
                </c:pt>
                <c:pt idx="162">
                  <c:v>South Farms Office Building</c:v>
                </c:pt>
                <c:pt idx="163">
                  <c:v>Usda Nematology Grhs</c:v>
                </c:pt>
                <c:pt idx="164">
                  <c:v>Pdrh Sm-3 Scott Hall</c:v>
                </c:pt>
                <c:pt idx="165">
                  <c:v>Special Mat Storage Facility</c:v>
                </c:pt>
                <c:pt idx="166">
                  <c:v>Parh Sw-2 Blaisdell Hall</c:v>
                </c:pt>
                <c:pt idx="167">
                  <c:v>Technology Development And Fabrication Center</c:v>
                </c:pt>
                <c:pt idx="168">
                  <c:v>Aerodynamics Research Laboratory</c:v>
                </c:pt>
                <c:pt idx="169">
                  <c:v>505 E. Green, Champaign</c:v>
                </c:pt>
                <c:pt idx="170">
                  <c:v>Garage And Carpool</c:v>
                </c:pt>
                <c:pt idx="171">
                  <c:v>University Press Building</c:v>
                </c:pt>
                <c:pt idx="172">
                  <c:v>Tech Plaza</c:v>
                </c:pt>
                <c:pt idx="173">
                  <c:v>Hort Field Lab</c:v>
                </c:pt>
                <c:pt idx="174">
                  <c:v>Orchard Downs Apts</c:v>
                </c:pt>
                <c:pt idx="175">
                  <c:v>Wood Engineering Lab</c:v>
                </c:pt>
                <c:pt idx="176">
                  <c:v>Water Survey Research Center Bldg 2</c:v>
                </c:pt>
                <c:pt idx="177">
                  <c:v>901 W. Oregon, Urbana</c:v>
                </c:pt>
                <c:pt idx="178">
                  <c:v>Observatory</c:v>
                </c:pt>
              </c:strCache>
            </c:strRef>
          </c:cat>
          <c:val>
            <c:numRef>
              <c:f>Sheet1!$C$1:$C$179</c:f>
              <c:numCache>
                <c:formatCode>_(* #,##0_);_(* \(#,##0\);_(* "-"??_);_(@_)</c:formatCode>
                <c:ptCount val="179"/>
                <c:pt idx="0" formatCode="General">
                  <c:v>2008.0</c:v>
                </c:pt>
                <c:pt idx="1">
                  <c:v>126441.0</c:v>
                </c:pt>
                <c:pt idx="2">
                  <c:v>126321.0</c:v>
                </c:pt>
                <c:pt idx="3">
                  <c:v>109224.0</c:v>
                </c:pt>
                <c:pt idx="4">
                  <c:v>107520.0</c:v>
                </c:pt>
                <c:pt idx="5">
                  <c:v>107360.0</c:v>
                </c:pt>
                <c:pt idx="6">
                  <c:v>105541.0</c:v>
                </c:pt>
                <c:pt idx="7">
                  <c:v>97803.0</c:v>
                </c:pt>
                <c:pt idx="8">
                  <c:v>91974.0</c:v>
                </c:pt>
                <c:pt idx="9">
                  <c:v>84128.0</c:v>
                </c:pt>
                <c:pt idx="10">
                  <c:v>83228.0</c:v>
                </c:pt>
                <c:pt idx="11">
                  <c:v>70370.0</c:v>
                </c:pt>
                <c:pt idx="12">
                  <c:v>68684.0</c:v>
                </c:pt>
                <c:pt idx="13">
                  <c:v>63020.0</c:v>
                </c:pt>
                <c:pt idx="14">
                  <c:v>60686.0</c:v>
                </c:pt>
                <c:pt idx="15">
                  <c:v>60549.0</c:v>
                </c:pt>
                <c:pt idx="16">
                  <c:v>59399.0</c:v>
                </c:pt>
                <c:pt idx="17">
                  <c:v>58164.0</c:v>
                </c:pt>
                <c:pt idx="18">
                  <c:v>57934.0</c:v>
                </c:pt>
                <c:pt idx="19">
                  <c:v>57740.0</c:v>
                </c:pt>
                <c:pt idx="20">
                  <c:v>57424.0</c:v>
                </c:pt>
                <c:pt idx="21">
                  <c:v>56603.0</c:v>
                </c:pt>
                <c:pt idx="22">
                  <c:v>56498.0</c:v>
                </c:pt>
                <c:pt idx="23">
                  <c:v>51690.0</c:v>
                </c:pt>
                <c:pt idx="24">
                  <c:v>51522.0</c:v>
                </c:pt>
                <c:pt idx="25">
                  <c:v>50644.0</c:v>
                </c:pt>
                <c:pt idx="26">
                  <c:v>49140.0</c:v>
                </c:pt>
                <c:pt idx="27">
                  <c:v>45101.0</c:v>
                </c:pt>
                <c:pt idx="28">
                  <c:v>44372.0</c:v>
                </c:pt>
                <c:pt idx="29">
                  <c:v>43582.0</c:v>
                </c:pt>
                <c:pt idx="30">
                  <c:v>42917.0</c:v>
                </c:pt>
                <c:pt idx="31">
                  <c:v>40143.0</c:v>
                </c:pt>
                <c:pt idx="32">
                  <c:v>38651.0</c:v>
                </c:pt>
                <c:pt idx="33">
                  <c:v>36414.0</c:v>
                </c:pt>
                <c:pt idx="34">
                  <c:v>36262.0</c:v>
                </c:pt>
                <c:pt idx="35">
                  <c:v>33290.0</c:v>
                </c:pt>
                <c:pt idx="36">
                  <c:v>32790.0</c:v>
                </c:pt>
                <c:pt idx="37">
                  <c:v>32721.0</c:v>
                </c:pt>
                <c:pt idx="38">
                  <c:v>32311.0</c:v>
                </c:pt>
                <c:pt idx="39">
                  <c:v>31692.0</c:v>
                </c:pt>
                <c:pt idx="40">
                  <c:v>31503.0</c:v>
                </c:pt>
                <c:pt idx="41">
                  <c:v>31314.0</c:v>
                </c:pt>
                <c:pt idx="42">
                  <c:v>31015.0</c:v>
                </c:pt>
                <c:pt idx="43">
                  <c:v>30688.0</c:v>
                </c:pt>
                <c:pt idx="44">
                  <c:v>29432.0</c:v>
                </c:pt>
                <c:pt idx="45">
                  <c:v>29166.0</c:v>
                </c:pt>
                <c:pt idx="46">
                  <c:v>28769.0</c:v>
                </c:pt>
                <c:pt idx="47">
                  <c:v>27923.0</c:v>
                </c:pt>
                <c:pt idx="48">
                  <c:v>26628.0</c:v>
                </c:pt>
                <c:pt idx="49">
                  <c:v>25976.0</c:v>
                </c:pt>
                <c:pt idx="50">
                  <c:v>25276.0</c:v>
                </c:pt>
                <c:pt idx="51">
                  <c:v>23399.0</c:v>
                </c:pt>
                <c:pt idx="52">
                  <c:v>23348.0</c:v>
                </c:pt>
                <c:pt idx="53">
                  <c:v>23335.0</c:v>
                </c:pt>
                <c:pt idx="54">
                  <c:v>22649.0</c:v>
                </c:pt>
                <c:pt idx="55">
                  <c:v>22014.0</c:v>
                </c:pt>
                <c:pt idx="56">
                  <c:v>21257.0</c:v>
                </c:pt>
                <c:pt idx="57">
                  <c:v>20382.0</c:v>
                </c:pt>
                <c:pt idx="58">
                  <c:v>20130.0</c:v>
                </c:pt>
                <c:pt idx="59">
                  <c:v>19786.0</c:v>
                </c:pt>
                <c:pt idx="61">
                  <c:v>17763.0</c:v>
                </c:pt>
                <c:pt idx="62">
                  <c:v>17444.0</c:v>
                </c:pt>
                <c:pt idx="63">
                  <c:v>17396.0</c:v>
                </c:pt>
                <c:pt idx="64">
                  <c:v>16991.0</c:v>
                </c:pt>
                <c:pt idx="65">
                  <c:v>15916.0</c:v>
                </c:pt>
                <c:pt idx="66">
                  <c:v>15038.0</c:v>
                </c:pt>
                <c:pt idx="67">
                  <c:v>14378.0</c:v>
                </c:pt>
                <c:pt idx="68">
                  <c:v>14245.0</c:v>
                </c:pt>
                <c:pt idx="69">
                  <c:v>13812.0</c:v>
                </c:pt>
                <c:pt idx="70">
                  <c:v>13486.0</c:v>
                </c:pt>
                <c:pt idx="71">
                  <c:v>13361.0</c:v>
                </c:pt>
                <c:pt idx="72">
                  <c:v>12998.0</c:v>
                </c:pt>
                <c:pt idx="73">
                  <c:v>12805.0</c:v>
                </c:pt>
                <c:pt idx="74">
                  <c:v>12695.0</c:v>
                </c:pt>
                <c:pt idx="75">
                  <c:v>12518.0</c:v>
                </c:pt>
                <c:pt idx="76">
                  <c:v>12467.0</c:v>
                </c:pt>
                <c:pt idx="77">
                  <c:v>12425.0</c:v>
                </c:pt>
                <c:pt idx="78">
                  <c:v>11804.0</c:v>
                </c:pt>
                <c:pt idx="79">
                  <c:v>11139.0</c:v>
                </c:pt>
                <c:pt idx="80">
                  <c:v>10894.0</c:v>
                </c:pt>
                <c:pt idx="81">
                  <c:v>10870.0</c:v>
                </c:pt>
                <c:pt idx="82">
                  <c:v>10756.0</c:v>
                </c:pt>
                <c:pt idx="83">
                  <c:v>10608.0</c:v>
                </c:pt>
                <c:pt idx="84">
                  <c:v>10426.0</c:v>
                </c:pt>
                <c:pt idx="85">
                  <c:v>10091.0</c:v>
                </c:pt>
                <c:pt idx="86">
                  <c:v>9877.0</c:v>
                </c:pt>
                <c:pt idx="87">
                  <c:v>9798.0</c:v>
                </c:pt>
                <c:pt idx="88">
                  <c:v>9791.0</c:v>
                </c:pt>
                <c:pt idx="89">
                  <c:v>9719.0</c:v>
                </c:pt>
                <c:pt idx="90">
                  <c:v>9597.0</c:v>
                </c:pt>
                <c:pt idx="91">
                  <c:v>9362.0</c:v>
                </c:pt>
                <c:pt idx="92">
                  <c:v>9170.0</c:v>
                </c:pt>
                <c:pt idx="93">
                  <c:v>9101.0</c:v>
                </c:pt>
                <c:pt idx="94">
                  <c:v>8381.0</c:v>
                </c:pt>
                <c:pt idx="95">
                  <c:v>8375.0</c:v>
                </c:pt>
                <c:pt idx="96">
                  <c:v>8288.0</c:v>
                </c:pt>
                <c:pt idx="97">
                  <c:v>8158.0</c:v>
                </c:pt>
                <c:pt idx="98">
                  <c:v>8085.0</c:v>
                </c:pt>
                <c:pt idx="99">
                  <c:v>8080.0</c:v>
                </c:pt>
                <c:pt idx="100">
                  <c:v>7783.0</c:v>
                </c:pt>
                <c:pt idx="101">
                  <c:v>7686.0</c:v>
                </c:pt>
                <c:pt idx="102">
                  <c:v>7629.0</c:v>
                </c:pt>
                <c:pt idx="103">
                  <c:v>7581.0</c:v>
                </c:pt>
                <c:pt idx="104">
                  <c:v>7371.0</c:v>
                </c:pt>
                <c:pt idx="105">
                  <c:v>7262.0</c:v>
                </c:pt>
                <c:pt idx="106">
                  <c:v>6944.0</c:v>
                </c:pt>
                <c:pt idx="107">
                  <c:v>6799.0</c:v>
                </c:pt>
                <c:pt idx="108">
                  <c:v>6758.0</c:v>
                </c:pt>
                <c:pt idx="109">
                  <c:v>6721.0</c:v>
                </c:pt>
                <c:pt idx="110">
                  <c:v>6407.0</c:v>
                </c:pt>
                <c:pt idx="111">
                  <c:v>6365.0</c:v>
                </c:pt>
                <c:pt idx="112">
                  <c:v>6365.0</c:v>
                </c:pt>
                <c:pt idx="113">
                  <c:v>6264.0</c:v>
                </c:pt>
                <c:pt idx="114">
                  <c:v>5995.0</c:v>
                </c:pt>
                <c:pt idx="115">
                  <c:v>5972.0</c:v>
                </c:pt>
                <c:pt idx="116">
                  <c:v>5850.0</c:v>
                </c:pt>
                <c:pt idx="117">
                  <c:v>5703.0</c:v>
                </c:pt>
                <c:pt idx="118">
                  <c:v>5424.0</c:v>
                </c:pt>
                <c:pt idx="119">
                  <c:v>5388.0</c:v>
                </c:pt>
                <c:pt idx="120">
                  <c:v>5259.0</c:v>
                </c:pt>
                <c:pt idx="121">
                  <c:v>5196.0</c:v>
                </c:pt>
                <c:pt idx="122">
                  <c:v>5061.0</c:v>
                </c:pt>
                <c:pt idx="123">
                  <c:v>4976.0</c:v>
                </c:pt>
                <c:pt idx="124">
                  <c:v>4954.0</c:v>
                </c:pt>
                <c:pt idx="125">
                  <c:v>4798.0</c:v>
                </c:pt>
                <c:pt idx="126">
                  <c:v>4710.0</c:v>
                </c:pt>
                <c:pt idx="127">
                  <c:v>4607.0</c:v>
                </c:pt>
                <c:pt idx="128">
                  <c:v>4410.0</c:v>
                </c:pt>
                <c:pt idx="129">
                  <c:v>4327.0</c:v>
                </c:pt>
                <c:pt idx="130">
                  <c:v>4305.0</c:v>
                </c:pt>
                <c:pt idx="131">
                  <c:v>4249.0</c:v>
                </c:pt>
                <c:pt idx="132">
                  <c:v>4186.0</c:v>
                </c:pt>
                <c:pt idx="133">
                  <c:v>3922.0</c:v>
                </c:pt>
                <c:pt idx="134">
                  <c:v>3638.0</c:v>
                </c:pt>
                <c:pt idx="135">
                  <c:v>3593.0</c:v>
                </c:pt>
                <c:pt idx="136">
                  <c:v>3301.0</c:v>
                </c:pt>
                <c:pt idx="137">
                  <c:v>3186.0</c:v>
                </c:pt>
                <c:pt idx="138">
                  <c:v>3130.0</c:v>
                </c:pt>
                <c:pt idx="139">
                  <c:v>3101.0</c:v>
                </c:pt>
                <c:pt idx="140">
                  <c:v>3058.0</c:v>
                </c:pt>
                <c:pt idx="141">
                  <c:v>2988.0</c:v>
                </c:pt>
                <c:pt idx="142">
                  <c:v>2883.0</c:v>
                </c:pt>
                <c:pt idx="143">
                  <c:v>2882.0</c:v>
                </c:pt>
                <c:pt idx="144">
                  <c:v>2830.0</c:v>
                </c:pt>
                <c:pt idx="145">
                  <c:v>2785.0</c:v>
                </c:pt>
                <c:pt idx="146">
                  <c:v>2770.0</c:v>
                </c:pt>
                <c:pt idx="147">
                  <c:v>2683.0</c:v>
                </c:pt>
                <c:pt idx="148">
                  <c:v>2663.0</c:v>
                </c:pt>
                <c:pt idx="149">
                  <c:v>2563.0</c:v>
                </c:pt>
                <c:pt idx="150">
                  <c:v>2497.0</c:v>
                </c:pt>
                <c:pt idx="151">
                  <c:v>2428.0</c:v>
                </c:pt>
                <c:pt idx="152">
                  <c:v>2353.0</c:v>
                </c:pt>
                <c:pt idx="153">
                  <c:v>2318.0</c:v>
                </c:pt>
                <c:pt idx="154">
                  <c:v>2183.0</c:v>
                </c:pt>
                <c:pt idx="155">
                  <c:v>2181.0</c:v>
                </c:pt>
                <c:pt idx="156">
                  <c:v>2088.0</c:v>
                </c:pt>
                <c:pt idx="157">
                  <c:v>1947.0</c:v>
                </c:pt>
                <c:pt idx="158">
                  <c:v>1902.0</c:v>
                </c:pt>
                <c:pt idx="159">
                  <c:v>1847.0</c:v>
                </c:pt>
                <c:pt idx="160">
                  <c:v>1803.0</c:v>
                </c:pt>
                <c:pt idx="161">
                  <c:v>1753.0</c:v>
                </c:pt>
                <c:pt idx="162">
                  <c:v>1611.0</c:v>
                </c:pt>
                <c:pt idx="163">
                  <c:v>1501.0</c:v>
                </c:pt>
                <c:pt idx="164">
                  <c:v>1435.0</c:v>
                </c:pt>
                <c:pt idx="165">
                  <c:v>1427.0</c:v>
                </c:pt>
                <c:pt idx="166">
                  <c:v>1369.0</c:v>
                </c:pt>
                <c:pt idx="167">
                  <c:v>1347.0</c:v>
                </c:pt>
                <c:pt idx="168">
                  <c:v>1241.0</c:v>
                </c:pt>
                <c:pt idx="169">
                  <c:v>1237.0</c:v>
                </c:pt>
                <c:pt idx="170">
                  <c:v>1225.0</c:v>
                </c:pt>
                <c:pt idx="171">
                  <c:v>1187.0</c:v>
                </c:pt>
                <c:pt idx="172">
                  <c:v>1187.0</c:v>
                </c:pt>
                <c:pt idx="173">
                  <c:v>1161.0</c:v>
                </c:pt>
                <c:pt idx="174">
                  <c:v>1043.0</c:v>
                </c:pt>
                <c:pt idx="175">
                  <c:v>1026.0</c:v>
                </c:pt>
                <c:pt idx="176">
                  <c:v>999.0</c:v>
                </c:pt>
                <c:pt idx="177">
                  <c:v>972.0</c:v>
                </c:pt>
                <c:pt idx="178">
                  <c:v>966.0</c:v>
                </c:pt>
              </c:numCache>
            </c:numRef>
          </c:val>
          <c:extLst xmlns:c16r2="http://schemas.microsoft.com/office/drawing/2015/06/chart">
            <c:ext xmlns:c16="http://schemas.microsoft.com/office/drawing/2014/chart" uri="{C3380CC4-5D6E-409C-BE32-E72D297353CC}">
              <c16:uniqueId val="{00000000-09DA-4430-8ABC-927400A9D5F1}"/>
            </c:ext>
          </c:extLst>
        </c:ser>
        <c:ser>
          <c:idx val="1"/>
          <c:order val="1"/>
          <c:tx>
            <c:v>2010</c:v>
          </c:tx>
          <c:spPr>
            <a:solidFill>
              <a:schemeClr val="accent2"/>
            </a:solidFill>
            <a:ln>
              <a:noFill/>
            </a:ln>
            <a:effectLst/>
          </c:spPr>
          <c:cat>
            <c:strRef>
              <c:f>Sheet1!$B$1:$B$179</c:f>
              <c:strCache>
                <c:ptCount val="179"/>
                <c:pt idx="0">
                  <c:v>Building</c:v>
                </c:pt>
                <c:pt idx="1">
                  <c:v>Roger Adams Laboratory</c:v>
                </c:pt>
                <c:pt idx="2">
                  <c:v>Advanced Computation Bldg</c:v>
                </c:pt>
                <c:pt idx="3">
                  <c:v>Beckman Institute</c:v>
                </c:pt>
                <c:pt idx="4">
                  <c:v>Vet Med Basic Science Bldg</c:v>
                </c:pt>
                <c:pt idx="5">
                  <c:v>Veterinary Teaching Hospital (lac/sac)</c:v>
                </c:pt>
                <c:pt idx="6">
                  <c:v>Micro/Nano Laboratory</c:v>
                </c:pt>
                <c:pt idx="7">
                  <c:v>Institute For Genomic Biology Building</c:v>
                </c:pt>
                <c:pt idx="8">
                  <c:v>Siebel Ctr For Computer Sci., Thomas M.</c:v>
                </c:pt>
                <c:pt idx="9">
                  <c:v>Chem &amp; Life Science Lab</c:v>
                </c:pt>
                <c:pt idx="10">
                  <c:v>Madigan Lab, Edward R.</c:v>
                </c:pt>
                <c:pt idx="11">
                  <c:v>Digital Computer Lab</c:v>
                </c:pt>
                <c:pt idx="12">
                  <c:v>Illini Union</c:v>
                </c:pt>
                <c:pt idx="13">
                  <c:v>Mat Res Lab, Frederick Seitz</c:v>
                </c:pt>
                <c:pt idx="14">
                  <c:v>Loomis Lab</c:v>
                </c:pt>
                <c:pt idx="15">
                  <c:v>Library</c:v>
                </c:pt>
                <c:pt idx="16">
                  <c:v>Burrill Hall</c:v>
                </c:pt>
                <c:pt idx="17">
                  <c:v>Psychology Lab</c:v>
                </c:pt>
                <c:pt idx="18">
                  <c:v>Morrill Hall</c:v>
                </c:pt>
                <c:pt idx="19">
                  <c:v>Farh Food Service</c:v>
                </c:pt>
                <c:pt idx="20">
                  <c:v>Krannert Center For Perf Art</c:v>
                </c:pt>
                <c:pt idx="21">
                  <c:v>Coordinated Sciences Lab</c:v>
                </c:pt>
                <c:pt idx="22">
                  <c:v>Engineering Sciences Bldg</c:v>
                </c:pt>
                <c:pt idx="23">
                  <c:v>Medical Sciences Building</c:v>
                </c:pt>
                <c:pt idx="24">
                  <c:v>Turner Hall</c:v>
                </c:pt>
                <c:pt idx="25">
                  <c:v>Mechanical Engineering Lab</c:v>
                </c:pt>
                <c:pt idx="26">
                  <c:v>Civil Eng Bldg, N. Newmark</c:v>
                </c:pt>
                <c:pt idx="27">
                  <c:v>Electrical And Computer Engineering, Everitt</c:v>
                </c:pt>
                <c:pt idx="28">
                  <c:v>Administration Bldg</c:v>
                </c:pt>
                <c:pt idx="29">
                  <c:v>Foreign Languages Bl</c:v>
                </c:pt>
                <c:pt idx="30">
                  <c:v>Bevier Hall</c:v>
                </c:pt>
                <c:pt idx="31">
                  <c:v>Wohlers Hall (commerce West)</c:v>
                </c:pt>
                <c:pt idx="32">
                  <c:v>Noyes Lab Of Chem</c:v>
                </c:pt>
                <c:pt idx="33">
                  <c:v>Undergraduate Library</c:v>
                </c:pt>
                <c:pt idx="34">
                  <c:v>Assembly Hall</c:v>
                </c:pt>
                <c:pt idx="35">
                  <c:v>National Center For Supercomputing Applications</c:v>
                </c:pt>
                <c:pt idx="36">
                  <c:v>Animal Sciences Lab</c:v>
                </c:pt>
                <c:pt idx="37">
                  <c:v>Activities &amp; Recreation Center</c:v>
                </c:pt>
                <c:pt idx="38">
                  <c:v>Sgrh Sherman Hall</c:v>
                </c:pt>
                <c:pt idx="39">
                  <c:v>Davenport Hall</c:v>
                </c:pt>
                <c:pt idx="40">
                  <c:v>Education Building</c:v>
                </c:pt>
                <c:pt idx="41">
                  <c:v>National Soybean Research Center (nsrc)</c:v>
                </c:pt>
                <c:pt idx="42">
                  <c:v>Campus Recreation Cntr-east</c:v>
                </c:pt>
                <c:pt idx="43">
                  <c:v>Aces Library, Information And Alumni Center</c:v>
                </c:pt>
                <c:pt idx="44">
                  <c:v>Armory</c:v>
                </c:pt>
                <c:pt idx="45">
                  <c:v>Music Building</c:v>
                </c:pt>
                <c:pt idx="46">
                  <c:v>Law Building</c:v>
                </c:pt>
                <c:pt idx="47">
                  <c:v>Grainger Engr Lib Info Centr</c:v>
                </c:pt>
                <c:pt idx="48">
                  <c:v>Plant Sciences</c:v>
                </c:pt>
                <c:pt idx="49">
                  <c:v>Agriculture Engr Sci Bldg</c:v>
                </c:pt>
                <c:pt idx="50">
                  <c:v>Mechanical Engineering Bldg</c:v>
                </c:pt>
                <c:pt idx="51">
                  <c:v>Engineering Hall</c:v>
                </c:pt>
                <c:pt idx="52">
                  <c:v>Stadium</c:v>
                </c:pt>
                <c:pt idx="53">
                  <c:v>Illini Union Bookstore</c:v>
                </c:pt>
                <c:pt idx="54">
                  <c:v>Physical Plant Service Bldg</c:v>
                </c:pt>
                <c:pt idx="55">
                  <c:v>Parh Sw-2 Penn Lounge Bldg</c:v>
                </c:pt>
                <c:pt idx="56">
                  <c:v>Smith Memorial Hall</c:v>
                </c:pt>
                <c:pt idx="57">
                  <c:v>Gregory Hall</c:v>
                </c:pt>
                <c:pt idx="58">
                  <c:v>Spurlock Museum</c:v>
                </c:pt>
                <c:pt idx="59">
                  <c:v>Altgeld Hall</c:v>
                </c:pt>
                <c:pt idx="60">
                  <c:v>Ice Arena</c:v>
                </c:pt>
                <c:pt idx="61">
                  <c:v>Mckinley Health Center</c:v>
                </c:pt>
                <c:pt idx="62">
                  <c:v>Natural History Building</c:v>
                </c:pt>
                <c:pt idx="63">
                  <c:v>Turner Hall Greenhouse</c:v>
                </c:pt>
                <c:pt idx="64">
                  <c:v>Talbot Laboratory</c:v>
                </c:pt>
                <c:pt idx="65">
                  <c:v>North Campus Parking Deck</c:v>
                </c:pt>
                <c:pt idx="66">
                  <c:v>Huff Hall</c:v>
                </c:pt>
                <c:pt idx="67">
                  <c:v>Isrh Wardall Hall</c:v>
                </c:pt>
                <c:pt idx="68">
                  <c:v>Freer Hall, Louise</c:v>
                </c:pt>
                <c:pt idx="69">
                  <c:v>Isrh Illinois St Lounge</c:v>
                </c:pt>
                <c:pt idx="70">
                  <c:v>Natural Resources Building</c:v>
                </c:pt>
                <c:pt idx="71">
                  <c:v>Lincoln Ave Res Hall</c:v>
                </c:pt>
                <c:pt idx="72">
                  <c:v>Sgrh Daniels Hall, Arthur</c:v>
                </c:pt>
                <c:pt idx="73">
                  <c:v>Alice Campbell Alumni Center</c:v>
                </c:pt>
                <c:pt idx="74">
                  <c:v>Lincoln Hall</c:v>
                </c:pt>
                <c:pt idx="75">
                  <c:v>Chemistry Annex</c:v>
                </c:pt>
                <c:pt idx="76">
                  <c:v>David Kinley Hall</c:v>
                </c:pt>
                <c:pt idx="77">
                  <c:v>Materials Science And Engineering Building</c:v>
                </c:pt>
                <c:pt idx="78">
                  <c:v>Allen Residence Hall</c:v>
                </c:pt>
                <c:pt idx="79">
                  <c:v>Housing Food Stores</c:v>
                </c:pt>
                <c:pt idx="80">
                  <c:v>Irwin Indoor Football Facility</c:v>
                </c:pt>
                <c:pt idx="81">
                  <c:v>Temple Hoyne Buell Hall</c:v>
                </c:pt>
                <c:pt idx="82">
                  <c:v>Art &amp; Design Bldg</c:v>
                </c:pt>
                <c:pt idx="83">
                  <c:v>Printing &amp; Photographic Services</c:v>
                </c:pt>
                <c:pt idx="84">
                  <c:v>Krannert Art Museum</c:v>
                </c:pt>
                <c:pt idx="85">
                  <c:v>Auditorium, Foellinger</c:v>
                </c:pt>
                <c:pt idx="86">
                  <c:v>Burnsides Res Lab</c:v>
                </c:pt>
                <c:pt idx="87">
                  <c:v>Fourth St Clark Hall</c:v>
                </c:pt>
                <c:pt idx="88">
                  <c:v>Admissions &amp; Records Bldg</c:v>
                </c:pt>
                <c:pt idx="89">
                  <c:v>Enterprise Works At Illinois</c:v>
                </c:pt>
                <c:pt idx="90">
                  <c:v>Student Service Bldg</c:v>
                </c:pt>
                <c:pt idx="91">
                  <c:v>Business Instructional Facility</c:v>
                </c:pt>
                <c:pt idx="92">
                  <c:v>Transportation Bldg</c:v>
                </c:pt>
                <c:pt idx="93">
                  <c:v>Levis Faculty Center</c:v>
                </c:pt>
                <c:pt idx="94">
                  <c:v>Computing Applic Bldg</c:v>
                </c:pt>
                <c:pt idx="95">
                  <c:v>Airport New Terminal</c:v>
                </c:pt>
                <c:pt idx="96">
                  <c:v>"z" Building</c:v>
                </c:pt>
                <c:pt idx="97">
                  <c:v>Supercond Cntr Mrl/csl Brdge</c:v>
                </c:pt>
                <c:pt idx="98">
                  <c:v>English Building</c:v>
                </c:pt>
                <c:pt idx="99">
                  <c:v>Early Child Development Laboratory</c:v>
                </c:pt>
                <c:pt idx="100">
                  <c:v>Mumford Hall</c:v>
                </c:pt>
                <c:pt idx="101">
                  <c:v>Rehabilitation Ctr</c:v>
                </c:pt>
                <c:pt idx="102">
                  <c:v>Busey Hall</c:v>
                </c:pt>
                <c:pt idx="103">
                  <c:v>Gregory Place I</c:v>
                </c:pt>
                <c:pt idx="104">
                  <c:v>Z-2 Building</c:v>
                </c:pt>
                <c:pt idx="105">
                  <c:v>Evans Hall</c:v>
                </c:pt>
                <c:pt idx="106">
                  <c:v>Agriculture Bioprocess Lab</c:v>
                </c:pt>
                <c:pt idx="107">
                  <c:v>Isrh Illinois St Food Ser</c:v>
                </c:pt>
                <c:pt idx="108">
                  <c:v>Student Services Arcade Building</c:v>
                </c:pt>
                <c:pt idx="109">
                  <c:v>Vet Med Surgery &amp; Obstet Lab</c:v>
                </c:pt>
                <c:pt idx="110">
                  <c:v>Motorola Building</c:v>
                </c:pt>
                <c:pt idx="111">
                  <c:v>Library &amp; Information Sci</c:v>
                </c:pt>
                <c:pt idx="112">
                  <c:v>Speech &amp; Hearing Cl</c:v>
                </c:pt>
                <c:pt idx="113">
                  <c:v>Harker Hall</c:v>
                </c:pt>
                <c:pt idx="114">
                  <c:v>Hydrosystems Lab C E</c:v>
                </c:pt>
                <c:pt idx="115">
                  <c:v>Campbell Hall</c:v>
                </c:pt>
                <c:pt idx="116">
                  <c:v>Atkins Tennis Center</c:v>
                </c:pt>
                <c:pt idx="117">
                  <c:v>Instit Of Labor &amp; Indus Rel</c:v>
                </c:pt>
                <c:pt idx="118">
                  <c:v>Waste Management And Research Laboratory</c:v>
                </c:pt>
                <c:pt idx="119">
                  <c:v>Student Staff Apts</c:v>
                </c:pt>
                <c:pt idx="120">
                  <c:v>Architecture Bldg</c:v>
                </c:pt>
                <c:pt idx="121">
                  <c:v>Illini Hall</c:v>
                </c:pt>
                <c:pt idx="122">
                  <c:v>Flagg Hall</c:v>
                </c:pt>
                <c:pt idx="123">
                  <c:v>Forbes Natural History Bldg</c:v>
                </c:pt>
                <c:pt idx="124">
                  <c:v>University High School</c:v>
                </c:pt>
                <c:pt idx="125">
                  <c:v>Bielfeldt Athletic Admin Bldg</c:v>
                </c:pt>
                <c:pt idx="126">
                  <c:v>Nuclear Physic Lab</c:v>
                </c:pt>
                <c:pt idx="127">
                  <c:v>Fourth St Van Doren Hall</c:v>
                </c:pt>
                <c:pt idx="128">
                  <c:v>Stock Pavilion</c:v>
                </c:pt>
                <c:pt idx="129">
                  <c:v>Art-east Annex Studio 1</c:v>
                </c:pt>
                <c:pt idx="130">
                  <c:v>Biomedical Imaging Center</c:v>
                </c:pt>
                <c:pt idx="131">
                  <c:v>Meat Science Lab</c:v>
                </c:pt>
                <c:pt idx="132">
                  <c:v>Child Dev, Home Ec</c:v>
                </c:pt>
                <c:pt idx="133">
                  <c:v>Natural Res Studies Annx</c:v>
                </c:pt>
                <c:pt idx="134">
                  <c:v>Vivarium, Victor E S</c:v>
                </c:pt>
                <c:pt idx="135">
                  <c:v>Kenney Gym</c:v>
                </c:pt>
                <c:pt idx="136">
                  <c:v>I-cyt</c:v>
                </c:pt>
                <c:pt idx="137">
                  <c:v>International Studies Bldg</c:v>
                </c:pt>
                <c:pt idx="138">
                  <c:v>Administrative Information Technology Bldg (aiss)</c:v>
                </c:pt>
                <c:pt idx="139">
                  <c:v>2021 S. First Street</c:v>
                </c:pt>
                <c:pt idx="140">
                  <c:v>Band Building, Harding</c:v>
                </c:pt>
                <c:pt idx="141">
                  <c:v>Ceramics Kiln House</c:v>
                </c:pt>
                <c:pt idx="142">
                  <c:v>Parking Garage</c:v>
                </c:pt>
                <c:pt idx="143">
                  <c:v>Oak Street Library Facility</c:v>
                </c:pt>
                <c:pt idx="144">
                  <c:v>Noble Hall</c:v>
                </c:pt>
                <c:pt idx="145">
                  <c:v>Childrens Res Ctr</c:v>
                </c:pt>
                <c:pt idx="146">
                  <c:v>Gregory Place Ii</c:v>
                </c:pt>
                <c:pt idx="147">
                  <c:v>Airport Inst Of Aviat Admin</c:v>
                </c:pt>
                <c:pt idx="148">
                  <c:v>Optical Physics And Engineering Building</c:v>
                </c:pt>
                <c:pt idx="149">
                  <c:v>Student Staff Apts #2</c:v>
                </c:pt>
                <c:pt idx="150">
                  <c:v>Geological Survey Lab</c:v>
                </c:pt>
                <c:pt idx="151">
                  <c:v>Christopher Hall</c:v>
                </c:pt>
                <c:pt idx="152">
                  <c:v>The Richard T. Ubben Basketball Complex</c:v>
                </c:pt>
                <c:pt idx="153">
                  <c:v>Swanlund Admin Bldg</c:v>
                </c:pt>
                <c:pt idx="154">
                  <c:v>Public Safety Building</c:v>
                </c:pt>
                <c:pt idx="155">
                  <c:v>Astronomy Bldg</c:v>
                </c:pt>
                <c:pt idx="156">
                  <c:v>Coble Hall</c:v>
                </c:pt>
                <c:pt idx="157">
                  <c:v>Central Rec Bldg</c:v>
                </c:pt>
                <c:pt idx="158">
                  <c:v>Ceramics Building</c:v>
                </c:pt>
                <c:pt idx="159">
                  <c:v>1004 S. Fourth, Champaign</c:v>
                </c:pt>
                <c:pt idx="160">
                  <c:v>111 E. Green St., Champaign</c:v>
                </c:pt>
                <c:pt idx="161">
                  <c:v>Personnel Services Bldg</c:v>
                </c:pt>
                <c:pt idx="162">
                  <c:v>South Farms Office Building</c:v>
                </c:pt>
                <c:pt idx="163">
                  <c:v>Usda Nematology Grhs</c:v>
                </c:pt>
                <c:pt idx="164">
                  <c:v>Pdrh Sm-3 Scott Hall</c:v>
                </c:pt>
                <c:pt idx="165">
                  <c:v>Special Mat Storage Facility</c:v>
                </c:pt>
                <c:pt idx="166">
                  <c:v>Parh Sw-2 Blaisdell Hall</c:v>
                </c:pt>
                <c:pt idx="167">
                  <c:v>Technology Development And Fabrication Center</c:v>
                </c:pt>
                <c:pt idx="168">
                  <c:v>Aerodynamics Research Laboratory</c:v>
                </c:pt>
                <c:pt idx="169">
                  <c:v>505 E. Green, Champaign</c:v>
                </c:pt>
                <c:pt idx="170">
                  <c:v>Garage And Carpool</c:v>
                </c:pt>
                <c:pt idx="171">
                  <c:v>University Press Building</c:v>
                </c:pt>
                <c:pt idx="172">
                  <c:v>Tech Plaza</c:v>
                </c:pt>
                <c:pt idx="173">
                  <c:v>Hort Field Lab</c:v>
                </c:pt>
                <c:pt idx="174">
                  <c:v>Orchard Downs Apts</c:v>
                </c:pt>
                <c:pt idx="175">
                  <c:v>Wood Engineering Lab</c:v>
                </c:pt>
                <c:pt idx="176">
                  <c:v>Water Survey Research Center Bldg 2</c:v>
                </c:pt>
                <c:pt idx="177">
                  <c:v>901 W. Oregon, Urbana</c:v>
                </c:pt>
                <c:pt idx="178">
                  <c:v>Observatory</c:v>
                </c:pt>
              </c:strCache>
            </c:strRef>
          </c:cat>
          <c:val>
            <c:numRef>
              <c:f>Sheet1!$D$1:$D$179</c:f>
              <c:numCache>
                <c:formatCode>_(* #,##0_);_(* \(#,##0\);_(* "-"??_);_(@_)</c:formatCode>
                <c:ptCount val="179"/>
                <c:pt idx="0" formatCode="General">
                  <c:v>2010.0</c:v>
                </c:pt>
                <c:pt idx="1">
                  <c:v>126717.0</c:v>
                </c:pt>
                <c:pt idx="2">
                  <c:v>115206.0</c:v>
                </c:pt>
                <c:pt idx="3">
                  <c:v>123368.0</c:v>
                </c:pt>
                <c:pt idx="4">
                  <c:v>81215.0</c:v>
                </c:pt>
                <c:pt idx="5">
                  <c:v>105320.0</c:v>
                </c:pt>
                <c:pt idx="6">
                  <c:v>109643.0</c:v>
                </c:pt>
                <c:pt idx="7">
                  <c:v>79559.0</c:v>
                </c:pt>
                <c:pt idx="8">
                  <c:v>59665.0</c:v>
                </c:pt>
                <c:pt idx="9">
                  <c:v>77226.0</c:v>
                </c:pt>
                <c:pt idx="10">
                  <c:v>61997.0</c:v>
                </c:pt>
                <c:pt idx="11">
                  <c:v>76434.0</c:v>
                </c:pt>
                <c:pt idx="12">
                  <c:v>67565.0</c:v>
                </c:pt>
                <c:pt idx="13">
                  <c:v>61537.0</c:v>
                </c:pt>
                <c:pt idx="14">
                  <c:v>41214.0</c:v>
                </c:pt>
                <c:pt idx="15">
                  <c:v>67385.0</c:v>
                </c:pt>
                <c:pt idx="16">
                  <c:v>63130.0</c:v>
                </c:pt>
                <c:pt idx="17">
                  <c:v>42287.0</c:v>
                </c:pt>
                <c:pt idx="18">
                  <c:v>81188.0</c:v>
                </c:pt>
                <c:pt idx="19">
                  <c:v>59854.0</c:v>
                </c:pt>
                <c:pt idx="20">
                  <c:v>55356.0</c:v>
                </c:pt>
                <c:pt idx="21">
                  <c:v>47027.0</c:v>
                </c:pt>
                <c:pt idx="22">
                  <c:v>51068.0</c:v>
                </c:pt>
                <c:pt idx="23">
                  <c:v>48366.0</c:v>
                </c:pt>
                <c:pt idx="24">
                  <c:v>44210.0</c:v>
                </c:pt>
                <c:pt idx="25">
                  <c:v>27350.0</c:v>
                </c:pt>
                <c:pt idx="26">
                  <c:v>39580.0</c:v>
                </c:pt>
                <c:pt idx="27">
                  <c:v>48682.0</c:v>
                </c:pt>
                <c:pt idx="28">
                  <c:v>32223.0</c:v>
                </c:pt>
                <c:pt idx="29">
                  <c:v>26522.0</c:v>
                </c:pt>
                <c:pt idx="30">
                  <c:v>34892.0</c:v>
                </c:pt>
                <c:pt idx="31">
                  <c:v>18453.0</c:v>
                </c:pt>
                <c:pt idx="32">
                  <c:v>46413.0</c:v>
                </c:pt>
                <c:pt idx="33">
                  <c:v>24759.0</c:v>
                </c:pt>
                <c:pt idx="34">
                  <c:v>37738.0</c:v>
                </c:pt>
                <c:pt idx="35">
                  <c:v>32090.0</c:v>
                </c:pt>
                <c:pt idx="36">
                  <c:v>22172.0</c:v>
                </c:pt>
                <c:pt idx="37">
                  <c:v>71696.0</c:v>
                </c:pt>
                <c:pt idx="38">
                  <c:v>11986.0</c:v>
                </c:pt>
                <c:pt idx="39">
                  <c:v>27261.0</c:v>
                </c:pt>
                <c:pt idx="40">
                  <c:v>32314.0</c:v>
                </c:pt>
                <c:pt idx="41">
                  <c:v>27779.0</c:v>
                </c:pt>
                <c:pt idx="42">
                  <c:v>25341.0</c:v>
                </c:pt>
                <c:pt idx="43">
                  <c:v>16826.0</c:v>
                </c:pt>
                <c:pt idx="44">
                  <c:v>19703.0</c:v>
                </c:pt>
                <c:pt idx="45">
                  <c:v>20261.0</c:v>
                </c:pt>
                <c:pt idx="46">
                  <c:v>33394.0</c:v>
                </c:pt>
                <c:pt idx="47">
                  <c:v>49293.0</c:v>
                </c:pt>
                <c:pt idx="48">
                  <c:v>31147.0</c:v>
                </c:pt>
                <c:pt idx="49">
                  <c:v>16196.0</c:v>
                </c:pt>
                <c:pt idx="50">
                  <c:v>28357.0</c:v>
                </c:pt>
                <c:pt idx="51">
                  <c:v>21591.0</c:v>
                </c:pt>
                <c:pt idx="52">
                  <c:v>40622.0</c:v>
                </c:pt>
                <c:pt idx="53">
                  <c:v>16103.0</c:v>
                </c:pt>
                <c:pt idx="54">
                  <c:v>20497.0</c:v>
                </c:pt>
                <c:pt idx="55">
                  <c:v>32466.0</c:v>
                </c:pt>
                <c:pt idx="56">
                  <c:v>9945.0</c:v>
                </c:pt>
                <c:pt idx="57">
                  <c:v>13042.0</c:v>
                </c:pt>
                <c:pt idx="58">
                  <c:v>20311.0</c:v>
                </c:pt>
                <c:pt idx="59">
                  <c:v>9762.0</c:v>
                </c:pt>
                <c:pt idx="60">
                  <c:v>12118.0</c:v>
                </c:pt>
                <c:pt idx="61">
                  <c:v>19641.0</c:v>
                </c:pt>
                <c:pt idx="62">
                  <c:v>12383.0</c:v>
                </c:pt>
                <c:pt idx="63">
                  <c:v>23438.0</c:v>
                </c:pt>
                <c:pt idx="64">
                  <c:v>14899.0</c:v>
                </c:pt>
                <c:pt idx="65">
                  <c:v>11613.0</c:v>
                </c:pt>
                <c:pt idx="66">
                  <c:v>38555.0</c:v>
                </c:pt>
                <c:pt idx="67">
                  <c:v>11053.0</c:v>
                </c:pt>
                <c:pt idx="68">
                  <c:v>18367.0</c:v>
                </c:pt>
                <c:pt idx="69">
                  <c:v>9700.0</c:v>
                </c:pt>
                <c:pt idx="70">
                  <c:v>12403.0</c:v>
                </c:pt>
                <c:pt idx="71">
                  <c:v>11357.0</c:v>
                </c:pt>
                <c:pt idx="72">
                  <c:v>15132.0</c:v>
                </c:pt>
                <c:pt idx="73">
                  <c:v>11930.0</c:v>
                </c:pt>
                <c:pt idx="74">
                  <c:v>8891.0</c:v>
                </c:pt>
                <c:pt idx="75">
                  <c:v>10563.0</c:v>
                </c:pt>
                <c:pt idx="76">
                  <c:v>10307.0</c:v>
                </c:pt>
                <c:pt idx="77">
                  <c:v>14660.0</c:v>
                </c:pt>
                <c:pt idx="78">
                  <c:v>7122.0</c:v>
                </c:pt>
                <c:pt idx="79">
                  <c:v>12137.0</c:v>
                </c:pt>
                <c:pt idx="80">
                  <c:v>7600.0</c:v>
                </c:pt>
                <c:pt idx="81">
                  <c:v>9465.0</c:v>
                </c:pt>
                <c:pt idx="82">
                  <c:v>16462.0</c:v>
                </c:pt>
                <c:pt idx="83">
                  <c:v>9783.0</c:v>
                </c:pt>
                <c:pt idx="84">
                  <c:v>3477.0</c:v>
                </c:pt>
                <c:pt idx="85">
                  <c:v>6800.0</c:v>
                </c:pt>
                <c:pt idx="86">
                  <c:v>9913.0</c:v>
                </c:pt>
                <c:pt idx="87">
                  <c:v>12820.0</c:v>
                </c:pt>
                <c:pt idx="88">
                  <c:v>7545.0</c:v>
                </c:pt>
                <c:pt idx="89">
                  <c:v>8881.0</c:v>
                </c:pt>
                <c:pt idx="90">
                  <c:v>6433.0</c:v>
                </c:pt>
                <c:pt idx="91">
                  <c:v>14641.0</c:v>
                </c:pt>
                <c:pt idx="92">
                  <c:v>10701.0</c:v>
                </c:pt>
                <c:pt idx="93">
                  <c:v>10030.0</c:v>
                </c:pt>
                <c:pt idx="94">
                  <c:v>9614.0</c:v>
                </c:pt>
                <c:pt idx="95">
                  <c:v>7419.0</c:v>
                </c:pt>
                <c:pt idx="96">
                  <c:v>6905.0</c:v>
                </c:pt>
                <c:pt idx="97">
                  <c:v>18672.0</c:v>
                </c:pt>
                <c:pt idx="98">
                  <c:v>12527.0</c:v>
                </c:pt>
                <c:pt idx="99">
                  <c:v>6186.0</c:v>
                </c:pt>
                <c:pt idx="100">
                  <c:v>9429.0</c:v>
                </c:pt>
                <c:pt idx="101">
                  <c:v>7205.0</c:v>
                </c:pt>
                <c:pt idx="102">
                  <c:v>11775.0</c:v>
                </c:pt>
                <c:pt idx="103">
                  <c:v>5418.0</c:v>
                </c:pt>
                <c:pt idx="104">
                  <c:v>7548.0</c:v>
                </c:pt>
                <c:pt idx="105">
                  <c:v>3007.0</c:v>
                </c:pt>
                <c:pt idx="106">
                  <c:v>5654.0</c:v>
                </c:pt>
                <c:pt idx="107">
                  <c:v>26466.0</c:v>
                </c:pt>
                <c:pt idx="108">
                  <c:v>4853.0</c:v>
                </c:pt>
                <c:pt idx="109">
                  <c:v>2175.0</c:v>
                </c:pt>
                <c:pt idx="110">
                  <c:v>9693.0</c:v>
                </c:pt>
                <c:pt idx="111">
                  <c:v>6869.0</c:v>
                </c:pt>
                <c:pt idx="112">
                  <c:v>5148.0</c:v>
                </c:pt>
                <c:pt idx="113">
                  <c:v>6484.0</c:v>
                </c:pt>
                <c:pt idx="114">
                  <c:v>4140.0</c:v>
                </c:pt>
                <c:pt idx="115">
                  <c:v>5933.0</c:v>
                </c:pt>
                <c:pt idx="116">
                  <c:v>5268.0</c:v>
                </c:pt>
                <c:pt idx="117">
                  <c:v>5649.0</c:v>
                </c:pt>
                <c:pt idx="118">
                  <c:v>4766.0</c:v>
                </c:pt>
                <c:pt idx="119">
                  <c:v>5886.0</c:v>
                </c:pt>
                <c:pt idx="120">
                  <c:v>5156.0</c:v>
                </c:pt>
                <c:pt idx="121">
                  <c:v>4705.0</c:v>
                </c:pt>
                <c:pt idx="122">
                  <c:v>3290.0</c:v>
                </c:pt>
                <c:pt idx="123">
                  <c:v>4903.0</c:v>
                </c:pt>
                <c:pt idx="124">
                  <c:v>6611.0</c:v>
                </c:pt>
                <c:pt idx="125">
                  <c:v>4853.0</c:v>
                </c:pt>
                <c:pt idx="126">
                  <c:v>4237.0</c:v>
                </c:pt>
                <c:pt idx="127">
                  <c:v>3976.0</c:v>
                </c:pt>
                <c:pt idx="128">
                  <c:v>4551.0</c:v>
                </c:pt>
                <c:pt idx="129">
                  <c:v>3237.0</c:v>
                </c:pt>
                <c:pt idx="130">
                  <c:v>3019.0</c:v>
                </c:pt>
                <c:pt idx="131">
                  <c:v>3870.0</c:v>
                </c:pt>
                <c:pt idx="132">
                  <c:v>3782.0</c:v>
                </c:pt>
                <c:pt idx="133">
                  <c:v>3065.0</c:v>
                </c:pt>
                <c:pt idx="134">
                  <c:v>3606.0</c:v>
                </c:pt>
                <c:pt idx="135">
                  <c:v>3663.0</c:v>
                </c:pt>
                <c:pt idx="136">
                  <c:v>5328.0</c:v>
                </c:pt>
                <c:pt idx="137">
                  <c:v>3088.0</c:v>
                </c:pt>
                <c:pt idx="138">
                  <c:v>2721.0</c:v>
                </c:pt>
                <c:pt idx="139">
                  <c:v>4189.0</c:v>
                </c:pt>
                <c:pt idx="140">
                  <c:v>3057.0</c:v>
                </c:pt>
                <c:pt idx="141">
                  <c:v>1244.0</c:v>
                </c:pt>
                <c:pt idx="142">
                  <c:v>3067.0</c:v>
                </c:pt>
                <c:pt idx="143">
                  <c:v>4837.0</c:v>
                </c:pt>
                <c:pt idx="144">
                  <c:v>2680.0</c:v>
                </c:pt>
                <c:pt idx="145">
                  <c:v>1975.0</c:v>
                </c:pt>
                <c:pt idx="146">
                  <c:v>10372.0</c:v>
                </c:pt>
                <c:pt idx="147">
                  <c:v>2540.0</c:v>
                </c:pt>
                <c:pt idx="148">
                  <c:v>2299.0</c:v>
                </c:pt>
                <c:pt idx="149">
                  <c:v>3295.0</c:v>
                </c:pt>
                <c:pt idx="150">
                  <c:v>2840.0</c:v>
                </c:pt>
                <c:pt idx="151">
                  <c:v>4001.0</c:v>
                </c:pt>
                <c:pt idx="152">
                  <c:v>2119.0</c:v>
                </c:pt>
                <c:pt idx="153">
                  <c:v>2006.0</c:v>
                </c:pt>
                <c:pt idx="154">
                  <c:v>2543.0</c:v>
                </c:pt>
                <c:pt idx="155">
                  <c:v>2331.0</c:v>
                </c:pt>
                <c:pt idx="156">
                  <c:v>2412.0</c:v>
                </c:pt>
                <c:pt idx="157">
                  <c:v>1844.0</c:v>
                </c:pt>
                <c:pt idx="158">
                  <c:v>5438.0</c:v>
                </c:pt>
                <c:pt idx="159">
                  <c:v>2734.0</c:v>
                </c:pt>
                <c:pt idx="160">
                  <c:v>1687.0</c:v>
                </c:pt>
                <c:pt idx="161">
                  <c:v>1886.0</c:v>
                </c:pt>
                <c:pt idx="162">
                  <c:v>1590.0</c:v>
                </c:pt>
                <c:pt idx="163">
                  <c:v>1452.0</c:v>
                </c:pt>
                <c:pt idx="164">
                  <c:v>1433.0</c:v>
                </c:pt>
                <c:pt idx="165">
                  <c:v>1291.0</c:v>
                </c:pt>
                <c:pt idx="166">
                  <c:v>7941.0</c:v>
                </c:pt>
                <c:pt idx="167">
                  <c:v>8135.0</c:v>
                </c:pt>
                <c:pt idx="168">
                  <c:v>2387.0</c:v>
                </c:pt>
                <c:pt idx="169">
                  <c:v>960.0</c:v>
                </c:pt>
                <c:pt idx="170">
                  <c:v>1241.0</c:v>
                </c:pt>
                <c:pt idx="171">
                  <c:v>985.0</c:v>
                </c:pt>
                <c:pt idx="172">
                  <c:v>975.0</c:v>
                </c:pt>
                <c:pt idx="173">
                  <c:v>983.0</c:v>
                </c:pt>
                <c:pt idx="174">
                  <c:v>985.0</c:v>
                </c:pt>
                <c:pt idx="175">
                  <c:v>1082.0</c:v>
                </c:pt>
                <c:pt idx="176">
                  <c:v>8526.0</c:v>
                </c:pt>
                <c:pt idx="177">
                  <c:v>897.0</c:v>
                </c:pt>
                <c:pt idx="178">
                  <c:v>834.0</c:v>
                </c:pt>
              </c:numCache>
            </c:numRef>
          </c:val>
          <c:extLst xmlns:c16r2="http://schemas.microsoft.com/office/drawing/2015/06/chart">
            <c:ext xmlns:c16="http://schemas.microsoft.com/office/drawing/2014/chart" uri="{C3380CC4-5D6E-409C-BE32-E72D297353CC}">
              <c16:uniqueId val="{00000001-09DA-4430-8ABC-927400A9D5F1}"/>
            </c:ext>
          </c:extLst>
        </c:ser>
        <c:ser>
          <c:idx val="2"/>
          <c:order val="2"/>
          <c:tx>
            <c:v>2011</c:v>
          </c:tx>
          <c:spPr>
            <a:solidFill>
              <a:schemeClr val="accent3"/>
            </a:solidFill>
            <a:ln>
              <a:noFill/>
            </a:ln>
            <a:effectLst/>
          </c:spPr>
          <c:cat>
            <c:strRef>
              <c:f>Sheet1!$B$1:$B$179</c:f>
              <c:strCache>
                <c:ptCount val="179"/>
                <c:pt idx="0">
                  <c:v>Building</c:v>
                </c:pt>
                <c:pt idx="1">
                  <c:v>Roger Adams Laboratory</c:v>
                </c:pt>
                <c:pt idx="2">
                  <c:v>Advanced Computation Bldg</c:v>
                </c:pt>
                <c:pt idx="3">
                  <c:v>Beckman Institute</c:v>
                </c:pt>
                <c:pt idx="4">
                  <c:v>Vet Med Basic Science Bldg</c:v>
                </c:pt>
                <c:pt idx="5">
                  <c:v>Veterinary Teaching Hospital (lac/sac)</c:v>
                </c:pt>
                <c:pt idx="6">
                  <c:v>Micro/Nano Laboratory</c:v>
                </c:pt>
                <c:pt idx="7">
                  <c:v>Institute For Genomic Biology Building</c:v>
                </c:pt>
                <c:pt idx="8">
                  <c:v>Siebel Ctr For Computer Sci., Thomas M.</c:v>
                </c:pt>
                <c:pt idx="9">
                  <c:v>Chem &amp; Life Science Lab</c:v>
                </c:pt>
                <c:pt idx="10">
                  <c:v>Madigan Lab, Edward R.</c:v>
                </c:pt>
                <c:pt idx="11">
                  <c:v>Digital Computer Lab</c:v>
                </c:pt>
                <c:pt idx="12">
                  <c:v>Illini Union</c:v>
                </c:pt>
                <c:pt idx="13">
                  <c:v>Mat Res Lab, Frederick Seitz</c:v>
                </c:pt>
                <c:pt idx="14">
                  <c:v>Loomis Lab</c:v>
                </c:pt>
                <c:pt idx="15">
                  <c:v>Library</c:v>
                </c:pt>
                <c:pt idx="16">
                  <c:v>Burrill Hall</c:v>
                </c:pt>
                <c:pt idx="17">
                  <c:v>Psychology Lab</c:v>
                </c:pt>
                <c:pt idx="18">
                  <c:v>Morrill Hall</c:v>
                </c:pt>
                <c:pt idx="19">
                  <c:v>Farh Food Service</c:v>
                </c:pt>
                <c:pt idx="20">
                  <c:v>Krannert Center For Perf Art</c:v>
                </c:pt>
                <c:pt idx="21">
                  <c:v>Coordinated Sciences Lab</c:v>
                </c:pt>
                <c:pt idx="22">
                  <c:v>Engineering Sciences Bldg</c:v>
                </c:pt>
                <c:pt idx="23">
                  <c:v>Medical Sciences Building</c:v>
                </c:pt>
                <c:pt idx="24">
                  <c:v>Turner Hall</c:v>
                </c:pt>
                <c:pt idx="25">
                  <c:v>Mechanical Engineering Lab</c:v>
                </c:pt>
                <c:pt idx="26">
                  <c:v>Civil Eng Bldg, N. Newmark</c:v>
                </c:pt>
                <c:pt idx="27">
                  <c:v>Electrical And Computer Engineering, Everitt</c:v>
                </c:pt>
                <c:pt idx="28">
                  <c:v>Administration Bldg</c:v>
                </c:pt>
                <c:pt idx="29">
                  <c:v>Foreign Languages Bl</c:v>
                </c:pt>
                <c:pt idx="30">
                  <c:v>Bevier Hall</c:v>
                </c:pt>
                <c:pt idx="31">
                  <c:v>Wohlers Hall (commerce West)</c:v>
                </c:pt>
                <c:pt idx="32">
                  <c:v>Noyes Lab Of Chem</c:v>
                </c:pt>
                <c:pt idx="33">
                  <c:v>Undergraduate Library</c:v>
                </c:pt>
                <c:pt idx="34">
                  <c:v>Assembly Hall</c:v>
                </c:pt>
                <c:pt idx="35">
                  <c:v>National Center For Supercomputing Applications</c:v>
                </c:pt>
                <c:pt idx="36">
                  <c:v>Animal Sciences Lab</c:v>
                </c:pt>
                <c:pt idx="37">
                  <c:v>Activities &amp; Recreation Center</c:v>
                </c:pt>
                <c:pt idx="38">
                  <c:v>Sgrh Sherman Hall</c:v>
                </c:pt>
                <c:pt idx="39">
                  <c:v>Davenport Hall</c:v>
                </c:pt>
                <c:pt idx="40">
                  <c:v>Education Building</c:v>
                </c:pt>
                <c:pt idx="41">
                  <c:v>National Soybean Research Center (nsrc)</c:v>
                </c:pt>
                <c:pt idx="42">
                  <c:v>Campus Recreation Cntr-east</c:v>
                </c:pt>
                <c:pt idx="43">
                  <c:v>Aces Library, Information And Alumni Center</c:v>
                </c:pt>
                <c:pt idx="44">
                  <c:v>Armory</c:v>
                </c:pt>
                <c:pt idx="45">
                  <c:v>Music Building</c:v>
                </c:pt>
                <c:pt idx="46">
                  <c:v>Law Building</c:v>
                </c:pt>
                <c:pt idx="47">
                  <c:v>Grainger Engr Lib Info Centr</c:v>
                </c:pt>
                <c:pt idx="48">
                  <c:v>Plant Sciences</c:v>
                </c:pt>
                <c:pt idx="49">
                  <c:v>Agriculture Engr Sci Bldg</c:v>
                </c:pt>
                <c:pt idx="50">
                  <c:v>Mechanical Engineering Bldg</c:v>
                </c:pt>
                <c:pt idx="51">
                  <c:v>Engineering Hall</c:v>
                </c:pt>
                <c:pt idx="52">
                  <c:v>Stadium</c:v>
                </c:pt>
                <c:pt idx="53">
                  <c:v>Illini Union Bookstore</c:v>
                </c:pt>
                <c:pt idx="54">
                  <c:v>Physical Plant Service Bldg</c:v>
                </c:pt>
                <c:pt idx="55">
                  <c:v>Parh Sw-2 Penn Lounge Bldg</c:v>
                </c:pt>
                <c:pt idx="56">
                  <c:v>Smith Memorial Hall</c:v>
                </c:pt>
                <c:pt idx="57">
                  <c:v>Gregory Hall</c:v>
                </c:pt>
                <c:pt idx="58">
                  <c:v>Spurlock Museum</c:v>
                </c:pt>
                <c:pt idx="59">
                  <c:v>Altgeld Hall</c:v>
                </c:pt>
                <c:pt idx="60">
                  <c:v>Ice Arena</c:v>
                </c:pt>
                <c:pt idx="61">
                  <c:v>Mckinley Health Center</c:v>
                </c:pt>
                <c:pt idx="62">
                  <c:v>Natural History Building</c:v>
                </c:pt>
                <c:pt idx="63">
                  <c:v>Turner Hall Greenhouse</c:v>
                </c:pt>
                <c:pt idx="64">
                  <c:v>Talbot Laboratory</c:v>
                </c:pt>
                <c:pt idx="65">
                  <c:v>North Campus Parking Deck</c:v>
                </c:pt>
                <c:pt idx="66">
                  <c:v>Huff Hall</c:v>
                </c:pt>
                <c:pt idx="67">
                  <c:v>Isrh Wardall Hall</c:v>
                </c:pt>
                <c:pt idx="68">
                  <c:v>Freer Hall, Louise</c:v>
                </c:pt>
                <c:pt idx="69">
                  <c:v>Isrh Illinois St Lounge</c:v>
                </c:pt>
                <c:pt idx="70">
                  <c:v>Natural Resources Building</c:v>
                </c:pt>
                <c:pt idx="71">
                  <c:v>Lincoln Ave Res Hall</c:v>
                </c:pt>
                <c:pt idx="72">
                  <c:v>Sgrh Daniels Hall, Arthur</c:v>
                </c:pt>
                <c:pt idx="73">
                  <c:v>Alice Campbell Alumni Center</c:v>
                </c:pt>
                <c:pt idx="74">
                  <c:v>Lincoln Hall</c:v>
                </c:pt>
                <c:pt idx="75">
                  <c:v>Chemistry Annex</c:v>
                </c:pt>
                <c:pt idx="76">
                  <c:v>David Kinley Hall</c:v>
                </c:pt>
                <c:pt idx="77">
                  <c:v>Materials Science And Engineering Building</c:v>
                </c:pt>
                <c:pt idx="78">
                  <c:v>Allen Residence Hall</c:v>
                </c:pt>
                <c:pt idx="79">
                  <c:v>Housing Food Stores</c:v>
                </c:pt>
                <c:pt idx="80">
                  <c:v>Irwin Indoor Football Facility</c:v>
                </c:pt>
                <c:pt idx="81">
                  <c:v>Temple Hoyne Buell Hall</c:v>
                </c:pt>
                <c:pt idx="82">
                  <c:v>Art &amp; Design Bldg</c:v>
                </c:pt>
                <c:pt idx="83">
                  <c:v>Printing &amp; Photographic Services</c:v>
                </c:pt>
                <c:pt idx="84">
                  <c:v>Krannert Art Museum</c:v>
                </c:pt>
                <c:pt idx="85">
                  <c:v>Auditorium, Foellinger</c:v>
                </c:pt>
                <c:pt idx="86">
                  <c:v>Burnsides Res Lab</c:v>
                </c:pt>
                <c:pt idx="87">
                  <c:v>Fourth St Clark Hall</c:v>
                </c:pt>
                <c:pt idx="88">
                  <c:v>Admissions &amp; Records Bldg</c:v>
                </c:pt>
                <c:pt idx="89">
                  <c:v>Enterprise Works At Illinois</c:v>
                </c:pt>
                <c:pt idx="90">
                  <c:v>Student Service Bldg</c:v>
                </c:pt>
                <c:pt idx="91">
                  <c:v>Business Instructional Facility</c:v>
                </c:pt>
                <c:pt idx="92">
                  <c:v>Transportation Bldg</c:v>
                </c:pt>
                <c:pt idx="93">
                  <c:v>Levis Faculty Center</c:v>
                </c:pt>
                <c:pt idx="94">
                  <c:v>Computing Applic Bldg</c:v>
                </c:pt>
                <c:pt idx="95">
                  <c:v>Airport New Terminal</c:v>
                </c:pt>
                <c:pt idx="96">
                  <c:v>"z" Building</c:v>
                </c:pt>
                <c:pt idx="97">
                  <c:v>Supercond Cntr Mrl/csl Brdge</c:v>
                </c:pt>
                <c:pt idx="98">
                  <c:v>English Building</c:v>
                </c:pt>
                <c:pt idx="99">
                  <c:v>Early Child Development Laboratory</c:v>
                </c:pt>
                <c:pt idx="100">
                  <c:v>Mumford Hall</c:v>
                </c:pt>
                <c:pt idx="101">
                  <c:v>Rehabilitation Ctr</c:v>
                </c:pt>
                <c:pt idx="102">
                  <c:v>Busey Hall</c:v>
                </c:pt>
                <c:pt idx="103">
                  <c:v>Gregory Place I</c:v>
                </c:pt>
                <c:pt idx="104">
                  <c:v>Z-2 Building</c:v>
                </c:pt>
                <c:pt idx="105">
                  <c:v>Evans Hall</c:v>
                </c:pt>
                <c:pt idx="106">
                  <c:v>Agriculture Bioprocess Lab</c:v>
                </c:pt>
                <c:pt idx="107">
                  <c:v>Isrh Illinois St Food Ser</c:v>
                </c:pt>
                <c:pt idx="108">
                  <c:v>Student Services Arcade Building</c:v>
                </c:pt>
                <c:pt idx="109">
                  <c:v>Vet Med Surgery &amp; Obstet Lab</c:v>
                </c:pt>
                <c:pt idx="110">
                  <c:v>Motorola Building</c:v>
                </c:pt>
                <c:pt idx="111">
                  <c:v>Library &amp; Information Sci</c:v>
                </c:pt>
                <c:pt idx="112">
                  <c:v>Speech &amp; Hearing Cl</c:v>
                </c:pt>
                <c:pt idx="113">
                  <c:v>Harker Hall</c:v>
                </c:pt>
                <c:pt idx="114">
                  <c:v>Hydrosystems Lab C E</c:v>
                </c:pt>
                <c:pt idx="115">
                  <c:v>Campbell Hall</c:v>
                </c:pt>
                <c:pt idx="116">
                  <c:v>Atkins Tennis Center</c:v>
                </c:pt>
                <c:pt idx="117">
                  <c:v>Instit Of Labor &amp; Indus Rel</c:v>
                </c:pt>
                <c:pt idx="118">
                  <c:v>Waste Management And Research Laboratory</c:v>
                </c:pt>
                <c:pt idx="119">
                  <c:v>Student Staff Apts</c:v>
                </c:pt>
                <c:pt idx="120">
                  <c:v>Architecture Bldg</c:v>
                </c:pt>
                <c:pt idx="121">
                  <c:v>Illini Hall</c:v>
                </c:pt>
                <c:pt idx="122">
                  <c:v>Flagg Hall</c:v>
                </c:pt>
                <c:pt idx="123">
                  <c:v>Forbes Natural History Bldg</c:v>
                </c:pt>
                <c:pt idx="124">
                  <c:v>University High School</c:v>
                </c:pt>
                <c:pt idx="125">
                  <c:v>Bielfeldt Athletic Admin Bldg</c:v>
                </c:pt>
                <c:pt idx="126">
                  <c:v>Nuclear Physic Lab</c:v>
                </c:pt>
                <c:pt idx="127">
                  <c:v>Fourth St Van Doren Hall</c:v>
                </c:pt>
                <c:pt idx="128">
                  <c:v>Stock Pavilion</c:v>
                </c:pt>
                <c:pt idx="129">
                  <c:v>Art-east Annex Studio 1</c:v>
                </c:pt>
                <c:pt idx="130">
                  <c:v>Biomedical Imaging Center</c:v>
                </c:pt>
                <c:pt idx="131">
                  <c:v>Meat Science Lab</c:v>
                </c:pt>
                <c:pt idx="132">
                  <c:v>Child Dev, Home Ec</c:v>
                </c:pt>
                <c:pt idx="133">
                  <c:v>Natural Res Studies Annx</c:v>
                </c:pt>
                <c:pt idx="134">
                  <c:v>Vivarium, Victor E S</c:v>
                </c:pt>
                <c:pt idx="135">
                  <c:v>Kenney Gym</c:v>
                </c:pt>
                <c:pt idx="136">
                  <c:v>I-cyt</c:v>
                </c:pt>
                <c:pt idx="137">
                  <c:v>International Studies Bldg</c:v>
                </c:pt>
                <c:pt idx="138">
                  <c:v>Administrative Information Technology Bldg (aiss)</c:v>
                </c:pt>
                <c:pt idx="139">
                  <c:v>2021 S. First Street</c:v>
                </c:pt>
                <c:pt idx="140">
                  <c:v>Band Building, Harding</c:v>
                </c:pt>
                <c:pt idx="141">
                  <c:v>Ceramics Kiln House</c:v>
                </c:pt>
                <c:pt idx="142">
                  <c:v>Parking Garage</c:v>
                </c:pt>
                <c:pt idx="143">
                  <c:v>Oak Street Library Facility</c:v>
                </c:pt>
                <c:pt idx="144">
                  <c:v>Noble Hall</c:v>
                </c:pt>
                <c:pt idx="145">
                  <c:v>Childrens Res Ctr</c:v>
                </c:pt>
                <c:pt idx="146">
                  <c:v>Gregory Place Ii</c:v>
                </c:pt>
                <c:pt idx="147">
                  <c:v>Airport Inst Of Aviat Admin</c:v>
                </c:pt>
                <c:pt idx="148">
                  <c:v>Optical Physics And Engineering Building</c:v>
                </c:pt>
                <c:pt idx="149">
                  <c:v>Student Staff Apts #2</c:v>
                </c:pt>
                <c:pt idx="150">
                  <c:v>Geological Survey Lab</c:v>
                </c:pt>
                <c:pt idx="151">
                  <c:v>Christopher Hall</c:v>
                </c:pt>
                <c:pt idx="152">
                  <c:v>The Richard T. Ubben Basketball Complex</c:v>
                </c:pt>
                <c:pt idx="153">
                  <c:v>Swanlund Admin Bldg</c:v>
                </c:pt>
                <c:pt idx="154">
                  <c:v>Public Safety Building</c:v>
                </c:pt>
                <c:pt idx="155">
                  <c:v>Astronomy Bldg</c:v>
                </c:pt>
                <c:pt idx="156">
                  <c:v>Coble Hall</c:v>
                </c:pt>
                <c:pt idx="157">
                  <c:v>Central Rec Bldg</c:v>
                </c:pt>
                <c:pt idx="158">
                  <c:v>Ceramics Building</c:v>
                </c:pt>
                <c:pt idx="159">
                  <c:v>1004 S. Fourth, Champaign</c:v>
                </c:pt>
                <c:pt idx="160">
                  <c:v>111 E. Green St., Champaign</c:v>
                </c:pt>
                <c:pt idx="161">
                  <c:v>Personnel Services Bldg</c:v>
                </c:pt>
                <c:pt idx="162">
                  <c:v>South Farms Office Building</c:v>
                </c:pt>
                <c:pt idx="163">
                  <c:v>Usda Nematology Grhs</c:v>
                </c:pt>
                <c:pt idx="164">
                  <c:v>Pdrh Sm-3 Scott Hall</c:v>
                </c:pt>
                <c:pt idx="165">
                  <c:v>Special Mat Storage Facility</c:v>
                </c:pt>
                <c:pt idx="166">
                  <c:v>Parh Sw-2 Blaisdell Hall</c:v>
                </c:pt>
                <c:pt idx="167">
                  <c:v>Technology Development And Fabrication Center</c:v>
                </c:pt>
                <c:pt idx="168">
                  <c:v>Aerodynamics Research Laboratory</c:v>
                </c:pt>
                <c:pt idx="169">
                  <c:v>505 E. Green, Champaign</c:v>
                </c:pt>
                <c:pt idx="170">
                  <c:v>Garage And Carpool</c:v>
                </c:pt>
                <c:pt idx="171">
                  <c:v>University Press Building</c:v>
                </c:pt>
                <c:pt idx="172">
                  <c:v>Tech Plaza</c:v>
                </c:pt>
                <c:pt idx="173">
                  <c:v>Hort Field Lab</c:v>
                </c:pt>
                <c:pt idx="174">
                  <c:v>Orchard Downs Apts</c:v>
                </c:pt>
                <c:pt idx="175">
                  <c:v>Wood Engineering Lab</c:v>
                </c:pt>
                <c:pt idx="176">
                  <c:v>Water Survey Research Center Bldg 2</c:v>
                </c:pt>
                <c:pt idx="177">
                  <c:v>901 W. Oregon, Urbana</c:v>
                </c:pt>
                <c:pt idx="178">
                  <c:v>Observatory</c:v>
                </c:pt>
              </c:strCache>
            </c:strRef>
          </c:cat>
          <c:val>
            <c:numRef>
              <c:f>Sheet1!$E$1:$E$179</c:f>
              <c:numCache>
                <c:formatCode>_(* #,##0_);_(* \(#,##0\);_(* "-"??_);_(@_)</c:formatCode>
                <c:ptCount val="179"/>
                <c:pt idx="0" formatCode="General">
                  <c:v>2011.0</c:v>
                </c:pt>
                <c:pt idx="1">
                  <c:v>151997.0</c:v>
                </c:pt>
                <c:pt idx="2">
                  <c:v>85328.0</c:v>
                </c:pt>
                <c:pt idx="3">
                  <c:v>119847.0</c:v>
                </c:pt>
                <c:pt idx="4">
                  <c:v>88974.0</c:v>
                </c:pt>
                <c:pt idx="5">
                  <c:v>103062.0</c:v>
                </c:pt>
                <c:pt idx="6">
                  <c:v>100330.0</c:v>
                </c:pt>
                <c:pt idx="7">
                  <c:v>75724.0</c:v>
                </c:pt>
                <c:pt idx="8">
                  <c:v>41765.0</c:v>
                </c:pt>
                <c:pt idx="9">
                  <c:v>76242.0</c:v>
                </c:pt>
                <c:pt idx="10">
                  <c:v>67815.0</c:v>
                </c:pt>
                <c:pt idx="11">
                  <c:v>73790.0</c:v>
                </c:pt>
                <c:pt idx="12">
                  <c:v>71406.0</c:v>
                </c:pt>
                <c:pt idx="13">
                  <c:v>61012.0</c:v>
                </c:pt>
                <c:pt idx="14">
                  <c:v>41636.0</c:v>
                </c:pt>
                <c:pt idx="15">
                  <c:v>86165.0</c:v>
                </c:pt>
                <c:pt idx="16">
                  <c:v>57956.0</c:v>
                </c:pt>
                <c:pt idx="17">
                  <c:v>34541.0</c:v>
                </c:pt>
                <c:pt idx="18">
                  <c:v>101601.0</c:v>
                </c:pt>
                <c:pt idx="19">
                  <c:v>62258.0</c:v>
                </c:pt>
                <c:pt idx="20">
                  <c:v>52074.0</c:v>
                </c:pt>
                <c:pt idx="21">
                  <c:v>31140.0</c:v>
                </c:pt>
                <c:pt idx="22">
                  <c:v>43390.0</c:v>
                </c:pt>
                <c:pt idx="23">
                  <c:v>39978.0</c:v>
                </c:pt>
                <c:pt idx="24">
                  <c:v>35338.0</c:v>
                </c:pt>
                <c:pt idx="25">
                  <c:v>18901.0</c:v>
                </c:pt>
                <c:pt idx="26">
                  <c:v>46358.0</c:v>
                </c:pt>
                <c:pt idx="27">
                  <c:v>53145.0</c:v>
                </c:pt>
                <c:pt idx="28">
                  <c:v>27196.0</c:v>
                </c:pt>
                <c:pt idx="29">
                  <c:v>25980.0</c:v>
                </c:pt>
                <c:pt idx="30">
                  <c:v>30763.0</c:v>
                </c:pt>
                <c:pt idx="31">
                  <c:v>18726.0</c:v>
                </c:pt>
                <c:pt idx="32">
                  <c:v>46387.0</c:v>
                </c:pt>
                <c:pt idx="33">
                  <c:v>18395.0</c:v>
                </c:pt>
                <c:pt idx="34">
                  <c:v>36382.0</c:v>
                </c:pt>
                <c:pt idx="35">
                  <c:v>23182.0</c:v>
                </c:pt>
                <c:pt idx="36">
                  <c:v>23644.0</c:v>
                </c:pt>
                <c:pt idx="37">
                  <c:v>77430.0</c:v>
                </c:pt>
                <c:pt idx="38">
                  <c:v>11499.0</c:v>
                </c:pt>
                <c:pt idx="39">
                  <c:v>29078.0</c:v>
                </c:pt>
                <c:pt idx="40">
                  <c:v>27481.0</c:v>
                </c:pt>
                <c:pt idx="41">
                  <c:v>31460.0</c:v>
                </c:pt>
                <c:pt idx="42">
                  <c:v>29728.0</c:v>
                </c:pt>
                <c:pt idx="43">
                  <c:v>20244.0</c:v>
                </c:pt>
                <c:pt idx="44">
                  <c:v>18834.0</c:v>
                </c:pt>
                <c:pt idx="45">
                  <c:v>20565.0</c:v>
                </c:pt>
                <c:pt idx="46">
                  <c:v>31457.0</c:v>
                </c:pt>
                <c:pt idx="47">
                  <c:v>47390.0</c:v>
                </c:pt>
                <c:pt idx="48">
                  <c:v>29562.0</c:v>
                </c:pt>
                <c:pt idx="49">
                  <c:v>14636.0</c:v>
                </c:pt>
                <c:pt idx="50">
                  <c:v>27671.0</c:v>
                </c:pt>
                <c:pt idx="51">
                  <c:v>13721.0</c:v>
                </c:pt>
                <c:pt idx="52">
                  <c:v>44688.0</c:v>
                </c:pt>
                <c:pt idx="53">
                  <c:v>11408.0</c:v>
                </c:pt>
                <c:pt idx="54">
                  <c:v>16461.0</c:v>
                </c:pt>
                <c:pt idx="55">
                  <c:v>29589.0</c:v>
                </c:pt>
                <c:pt idx="56">
                  <c:v>18803.0</c:v>
                </c:pt>
                <c:pt idx="57">
                  <c:v>11533.0</c:v>
                </c:pt>
                <c:pt idx="58">
                  <c:v>21520.0</c:v>
                </c:pt>
                <c:pt idx="59">
                  <c:v>10237.0</c:v>
                </c:pt>
                <c:pt idx="60">
                  <c:v>11508.0</c:v>
                </c:pt>
                <c:pt idx="61">
                  <c:v>21117.0</c:v>
                </c:pt>
                <c:pt idx="62">
                  <c:v>12025.0</c:v>
                </c:pt>
                <c:pt idx="63">
                  <c:v>21553.0</c:v>
                </c:pt>
                <c:pt idx="64">
                  <c:v>14653.0</c:v>
                </c:pt>
                <c:pt idx="65">
                  <c:v>12674.0</c:v>
                </c:pt>
                <c:pt idx="66">
                  <c:v>15906.0</c:v>
                </c:pt>
                <c:pt idx="67">
                  <c:v>14217.0</c:v>
                </c:pt>
                <c:pt idx="68">
                  <c:v>18471.0</c:v>
                </c:pt>
                <c:pt idx="69">
                  <c:v>9831.0</c:v>
                </c:pt>
                <c:pt idx="70">
                  <c:v>13371.0</c:v>
                </c:pt>
                <c:pt idx="71">
                  <c:v>11781.0</c:v>
                </c:pt>
                <c:pt idx="72">
                  <c:v>15966.0</c:v>
                </c:pt>
                <c:pt idx="73">
                  <c:v>11426.0</c:v>
                </c:pt>
                <c:pt idx="74">
                  <c:v>5076.0</c:v>
                </c:pt>
                <c:pt idx="75">
                  <c:v>9193.0</c:v>
                </c:pt>
                <c:pt idx="76">
                  <c:v>10369.0</c:v>
                </c:pt>
                <c:pt idx="77">
                  <c:v>17203.0</c:v>
                </c:pt>
                <c:pt idx="78">
                  <c:v>13343.0</c:v>
                </c:pt>
                <c:pt idx="79">
                  <c:v>10374.0</c:v>
                </c:pt>
                <c:pt idx="80">
                  <c:v>6663.0</c:v>
                </c:pt>
                <c:pt idx="81">
                  <c:v>12586.0</c:v>
                </c:pt>
                <c:pt idx="82">
                  <c:v>12501.0</c:v>
                </c:pt>
                <c:pt idx="83">
                  <c:v>9270.0</c:v>
                </c:pt>
                <c:pt idx="84">
                  <c:v>2505.0</c:v>
                </c:pt>
                <c:pt idx="85">
                  <c:v>6128.0</c:v>
                </c:pt>
                <c:pt idx="86">
                  <c:v>8468.0</c:v>
                </c:pt>
                <c:pt idx="87">
                  <c:v>12495.0</c:v>
                </c:pt>
                <c:pt idx="88">
                  <c:v>10099.0</c:v>
                </c:pt>
                <c:pt idx="89">
                  <c:v>9062.0</c:v>
                </c:pt>
                <c:pt idx="90">
                  <c:v>7226.0</c:v>
                </c:pt>
                <c:pt idx="91">
                  <c:v>19078.0</c:v>
                </c:pt>
                <c:pt idx="92">
                  <c:v>11184.0</c:v>
                </c:pt>
                <c:pt idx="93">
                  <c:v>7905.0</c:v>
                </c:pt>
                <c:pt idx="94">
                  <c:v>11766.0</c:v>
                </c:pt>
                <c:pt idx="95">
                  <c:v>8371.0</c:v>
                </c:pt>
                <c:pt idx="96">
                  <c:v>6845.0</c:v>
                </c:pt>
                <c:pt idx="97">
                  <c:v>15493.0</c:v>
                </c:pt>
                <c:pt idx="98">
                  <c:v>14570.0</c:v>
                </c:pt>
                <c:pt idx="99">
                  <c:v>4736.0</c:v>
                </c:pt>
                <c:pt idx="100">
                  <c:v>8264.0</c:v>
                </c:pt>
                <c:pt idx="101">
                  <c:v>7722.0</c:v>
                </c:pt>
                <c:pt idx="102">
                  <c:v>12202.0</c:v>
                </c:pt>
                <c:pt idx="103">
                  <c:v>5128.0</c:v>
                </c:pt>
                <c:pt idx="104">
                  <c:v>7059.0</c:v>
                </c:pt>
                <c:pt idx="105">
                  <c:v>3358.0</c:v>
                </c:pt>
                <c:pt idx="106">
                  <c:v>5834.0</c:v>
                </c:pt>
                <c:pt idx="107">
                  <c:v>28960.0</c:v>
                </c:pt>
                <c:pt idx="108">
                  <c:v>5528.0</c:v>
                </c:pt>
                <c:pt idx="109">
                  <c:v>2296.0</c:v>
                </c:pt>
                <c:pt idx="110">
                  <c:v>10726.0</c:v>
                </c:pt>
                <c:pt idx="111">
                  <c:v>6676.0</c:v>
                </c:pt>
                <c:pt idx="112">
                  <c:v>5037.0</c:v>
                </c:pt>
                <c:pt idx="113">
                  <c:v>6993.0</c:v>
                </c:pt>
                <c:pt idx="114">
                  <c:v>4643.0</c:v>
                </c:pt>
                <c:pt idx="115">
                  <c:v>6372.0</c:v>
                </c:pt>
                <c:pt idx="116">
                  <c:v>5363.0</c:v>
                </c:pt>
                <c:pt idx="117">
                  <c:v>5434.0</c:v>
                </c:pt>
                <c:pt idx="118">
                  <c:v>5072.0</c:v>
                </c:pt>
                <c:pt idx="119">
                  <c:v>5474.0</c:v>
                </c:pt>
                <c:pt idx="120">
                  <c:v>5768.0</c:v>
                </c:pt>
                <c:pt idx="121">
                  <c:v>4992.0</c:v>
                </c:pt>
                <c:pt idx="122">
                  <c:v>4193.0</c:v>
                </c:pt>
                <c:pt idx="123">
                  <c:v>5106.0</c:v>
                </c:pt>
                <c:pt idx="124">
                  <c:v>4986.0</c:v>
                </c:pt>
                <c:pt idx="125">
                  <c:v>5065.0</c:v>
                </c:pt>
                <c:pt idx="126">
                  <c:v>4303.0</c:v>
                </c:pt>
                <c:pt idx="127">
                  <c:v>3313.0</c:v>
                </c:pt>
                <c:pt idx="128">
                  <c:v>4172.0</c:v>
                </c:pt>
                <c:pt idx="129">
                  <c:v>2407.0</c:v>
                </c:pt>
                <c:pt idx="130">
                  <c:v>2463.0</c:v>
                </c:pt>
                <c:pt idx="131">
                  <c:v>3789.0</c:v>
                </c:pt>
                <c:pt idx="132">
                  <c:v>2765.0</c:v>
                </c:pt>
                <c:pt idx="133">
                  <c:v>3088.0</c:v>
                </c:pt>
                <c:pt idx="134">
                  <c:v>3647.0</c:v>
                </c:pt>
                <c:pt idx="135">
                  <c:v>6355.0</c:v>
                </c:pt>
                <c:pt idx="136">
                  <c:v>5898.0</c:v>
                </c:pt>
                <c:pt idx="137">
                  <c:v>5579.0</c:v>
                </c:pt>
                <c:pt idx="138">
                  <c:v>2867.0</c:v>
                </c:pt>
                <c:pt idx="139">
                  <c:v>4232.0</c:v>
                </c:pt>
                <c:pt idx="140">
                  <c:v>3262.0</c:v>
                </c:pt>
                <c:pt idx="141">
                  <c:v>1437.0</c:v>
                </c:pt>
                <c:pt idx="142">
                  <c:v>3023.0</c:v>
                </c:pt>
                <c:pt idx="143">
                  <c:v>4438.0</c:v>
                </c:pt>
                <c:pt idx="144">
                  <c:v>2268.0</c:v>
                </c:pt>
                <c:pt idx="145">
                  <c:v>2452.0</c:v>
                </c:pt>
                <c:pt idx="146">
                  <c:v>9619.0</c:v>
                </c:pt>
                <c:pt idx="147">
                  <c:v>2745.0</c:v>
                </c:pt>
                <c:pt idx="148">
                  <c:v>2186.0</c:v>
                </c:pt>
                <c:pt idx="149">
                  <c:v>3924.0</c:v>
                </c:pt>
                <c:pt idx="150">
                  <c:v>2232.0</c:v>
                </c:pt>
                <c:pt idx="151">
                  <c:v>8302.0</c:v>
                </c:pt>
                <c:pt idx="152">
                  <c:v>2292.0</c:v>
                </c:pt>
                <c:pt idx="153">
                  <c:v>2115.0</c:v>
                </c:pt>
                <c:pt idx="154">
                  <c:v>2564.0</c:v>
                </c:pt>
                <c:pt idx="155">
                  <c:v>2130.0</c:v>
                </c:pt>
                <c:pt idx="156">
                  <c:v>2593.0</c:v>
                </c:pt>
                <c:pt idx="157">
                  <c:v>1701.0</c:v>
                </c:pt>
                <c:pt idx="158">
                  <c:v>6012.0</c:v>
                </c:pt>
                <c:pt idx="159">
                  <c:v>2747.0</c:v>
                </c:pt>
                <c:pt idx="160">
                  <c:v>1811.0</c:v>
                </c:pt>
                <c:pt idx="161">
                  <c:v>2080.0</c:v>
                </c:pt>
                <c:pt idx="162">
                  <c:v>1460.0</c:v>
                </c:pt>
                <c:pt idx="163">
                  <c:v>1519.0</c:v>
                </c:pt>
                <c:pt idx="164">
                  <c:v>5445.0</c:v>
                </c:pt>
                <c:pt idx="165">
                  <c:v>1515.0</c:v>
                </c:pt>
                <c:pt idx="166">
                  <c:v>7866.0</c:v>
                </c:pt>
                <c:pt idx="167">
                  <c:v>7577.0</c:v>
                </c:pt>
                <c:pt idx="168">
                  <c:v>2647.0</c:v>
                </c:pt>
                <c:pt idx="169">
                  <c:v>933.0</c:v>
                </c:pt>
                <c:pt idx="170">
                  <c:v>1103.0</c:v>
                </c:pt>
                <c:pt idx="171">
                  <c:v>1026.0</c:v>
                </c:pt>
                <c:pt idx="172">
                  <c:v>927.0</c:v>
                </c:pt>
                <c:pt idx="173">
                  <c:v>1068.0</c:v>
                </c:pt>
                <c:pt idx="174">
                  <c:v>981.0</c:v>
                </c:pt>
                <c:pt idx="175">
                  <c:v>1067.0</c:v>
                </c:pt>
                <c:pt idx="176">
                  <c:v>8308.0</c:v>
                </c:pt>
                <c:pt idx="177">
                  <c:v>947.0</c:v>
                </c:pt>
                <c:pt idx="178">
                  <c:v>916.0</c:v>
                </c:pt>
              </c:numCache>
            </c:numRef>
          </c:val>
          <c:extLst xmlns:c16r2="http://schemas.microsoft.com/office/drawing/2015/06/chart">
            <c:ext xmlns:c16="http://schemas.microsoft.com/office/drawing/2014/chart" uri="{C3380CC4-5D6E-409C-BE32-E72D297353CC}">
              <c16:uniqueId val="{00000002-09DA-4430-8ABC-927400A9D5F1}"/>
            </c:ext>
          </c:extLst>
        </c:ser>
        <c:dLbls>
          <c:showLegendKey val="0"/>
          <c:showVal val="0"/>
          <c:showCatName val="0"/>
          <c:showSerName val="0"/>
          <c:showPercent val="0"/>
          <c:showBubbleSize val="0"/>
        </c:dLbls>
        <c:axId val="1763752768"/>
        <c:axId val="1763755088"/>
      </c:areaChart>
      <c:catAx>
        <c:axId val="176375276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3755088"/>
        <c:crosses val="autoZero"/>
        <c:auto val="1"/>
        <c:lblAlgn val="ctr"/>
        <c:lblOffset val="100"/>
        <c:noMultiLvlLbl val="0"/>
      </c:catAx>
      <c:valAx>
        <c:axId val="17637550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375276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chemeClr val="tx1"/>
                </a:solidFill>
              </a:rPr>
              <a:t>Energy</a:t>
            </a:r>
            <a:r>
              <a:rPr lang="en-US" baseline="0">
                <a:solidFill>
                  <a:schemeClr val="tx1"/>
                </a:solidFill>
              </a:rPr>
              <a:t> consumption by month (MMBTU)</a:t>
            </a:r>
          </a:p>
        </c:rich>
      </c:tx>
      <c:overlay val="0"/>
      <c:spPr>
        <a:noFill/>
        <a:ln w="25400">
          <a:noFill/>
        </a:ln>
      </c:spPr>
    </c:title>
    <c:autoTitleDeleted val="0"/>
    <c:plotArea>
      <c:layout/>
      <c:barChart>
        <c:barDir val="col"/>
        <c:grouping val="stacked"/>
        <c:varyColors val="0"/>
        <c:ser>
          <c:idx val="0"/>
          <c:order val="0"/>
          <c:tx>
            <c:strRef>
              <c:f>Sheet1!$B$47</c:f>
              <c:strCache>
                <c:ptCount val="1"/>
                <c:pt idx="0">
                  <c:v>Electricity</c:v>
                </c:pt>
              </c:strCache>
            </c:strRef>
          </c:tx>
          <c:spPr>
            <a:solidFill>
              <a:srgbClr val="5B9BD5"/>
            </a:solidFill>
            <a:ln w="25400">
              <a:noFill/>
            </a:ln>
          </c:spPr>
          <c:invertIfNegative val="0"/>
          <c:cat>
            <c:strRef>
              <c:f>Sheet1!$A$48:$A$59</c:f>
              <c:strCache>
                <c:ptCount val="12"/>
                <c:pt idx="0">
                  <c:v>07/2015</c:v>
                </c:pt>
                <c:pt idx="1">
                  <c:v>08/2015</c:v>
                </c:pt>
                <c:pt idx="2">
                  <c:v>09/2015</c:v>
                </c:pt>
                <c:pt idx="3">
                  <c:v>10/2015</c:v>
                </c:pt>
                <c:pt idx="4">
                  <c:v>11/2015</c:v>
                </c:pt>
                <c:pt idx="5">
                  <c:v>12/2015</c:v>
                </c:pt>
                <c:pt idx="6">
                  <c:v>01/2016</c:v>
                </c:pt>
                <c:pt idx="7">
                  <c:v>02/2016</c:v>
                </c:pt>
                <c:pt idx="8">
                  <c:v>03/2016</c:v>
                </c:pt>
                <c:pt idx="9">
                  <c:v>04/2016</c:v>
                </c:pt>
                <c:pt idx="10">
                  <c:v>05/2016</c:v>
                </c:pt>
                <c:pt idx="11">
                  <c:v>06/2016</c:v>
                </c:pt>
              </c:strCache>
            </c:strRef>
          </c:cat>
          <c:val>
            <c:numRef>
              <c:f>Sheet1!$B$48:$B$59</c:f>
              <c:numCache>
                <c:formatCode>#,##0</c:formatCode>
                <c:ptCount val="12"/>
                <c:pt idx="0">
                  <c:v>297.7346</c:v>
                </c:pt>
                <c:pt idx="1">
                  <c:v>305.966</c:v>
                </c:pt>
                <c:pt idx="2">
                  <c:v>317.084</c:v>
                </c:pt>
                <c:pt idx="3">
                  <c:v>347.1842</c:v>
                </c:pt>
                <c:pt idx="4">
                  <c:v>356.9456</c:v>
                </c:pt>
                <c:pt idx="5">
                  <c:v>320.246</c:v>
                </c:pt>
                <c:pt idx="6">
                  <c:v>329.4736</c:v>
                </c:pt>
                <c:pt idx="7">
                  <c:v>295.5348</c:v>
                </c:pt>
                <c:pt idx="8">
                  <c:v>323.1462</c:v>
                </c:pt>
                <c:pt idx="9">
                  <c:v>335.5868</c:v>
                </c:pt>
                <c:pt idx="10">
                  <c:v>341.3294</c:v>
                </c:pt>
                <c:pt idx="11">
                  <c:v>307.5096</c:v>
                </c:pt>
              </c:numCache>
            </c:numRef>
          </c:val>
        </c:ser>
        <c:ser>
          <c:idx val="1"/>
          <c:order val="1"/>
          <c:tx>
            <c:strRef>
              <c:f>Sheet1!$C$47</c:f>
              <c:strCache>
                <c:ptCount val="1"/>
                <c:pt idx="0">
                  <c:v>Steam</c:v>
                </c:pt>
              </c:strCache>
            </c:strRef>
          </c:tx>
          <c:spPr>
            <a:solidFill>
              <a:srgbClr val="ED7D31"/>
            </a:solidFill>
            <a:ln w="25400">
              <a:noFill/>
            </a:ln>
          </c:spPr>
          <c:invertIfNegative val="0"/>
          <c:cat>
            <c:strRef>
              <c:f>Sheet1!$A$48:$A$59</c:f>
              <c:strCache>
                <c:ptCount val="12"/>
                <c:pt idx="0">
                  <c:v>07/2015</c:v>
                </c:pt>
                <c:pt idx="1">
                  <c:v>08/2015</c:v>
                </c:pt>
                <c:pt idx="2">
                  <c:v>09/2015</c:v>
                </c:pt>
                <c:pt idx="3">
                  <c:v>10/2015</c:v>
                </c:pt>
                <c:pt idx="4">
                  <c:v>11/2015</c:v>
                </c:pt>
                <c:pt idx="5">
                  <c:v>12/2015</c:v>
                </c:pt>
                <c:pt idx="6">
                  <c:v>01/2016</c:v>
                </c:pt>
                <c:pt idx="7">
                  <c:v>02/2016</c:v>
                </c:pt>
                <c:pt idx="8">
                  <c:v>03/2016</c:v>
                </c:pt>
                <c:pt idx="9">
                  <c:v>04/2016</c:v>
                </c:pt>
                <c:pt idx="10">
                  <c:v>05/2016</c:v>
                </c:pt>
                <c:pt idx="11">
                  <c:v>06/2016</c:v>
                </c:pt>
              </c:strCache>
            </c:strRef>
          </c:cat>
          <c:val>
            <c:numRef>
              <c:f>Sheet1!$C$48:$C$59</c:f>
              <c:numCache>
                <c:formatCode>#,##0</c:formatCode>
                <c:ptCount val="12"/>
                <c:pt idx="0">
                  <c:v>163.7803</c:v>
                </c:pt>
                <c:pt idx="1">
                  <c:v>153.3979</c:v>
                </c:pt>
                <c:pt idx="2">
                  <c:v>144.2618</c:v>
                </c:pt>
                <c:pt idx="3">
                  <c:v>180.7238</c:v>
                </c:pt>
                <c:pt idx="4">
                  <c:v>337.4795</c:v>
                </c:pt>
                <c:pt idx="5">
                  <c:v>558.9603999999994</c:v>
                </c:pt>
                <c:pt idx="6">
                  <c:v>758.2139</c:v>
                </c:pt>
                <c:pt idx="7">
                  <c:v>1178.835</c:v>
                </c:pt>
                <c:pt idx="8">
                  <c:v>902.3623999999974</c:v>
                </c:pt>
                <c:pt idx="9">
                  <c:v>506.76</c:v>
                </c:pt>
                <c:pt idx="10">
                  <c:v>399.3825</c:v>
                </c:pt>
                <c:pt idx="11">
                  <c:v>271.1887</c:v>
                </c:pt>
              </c:numCache>
            </c:numRef>
          </c:val>
        </c:ser>
        <c:ser>
          <c:idx val="2"/>
          <c:order val="2"/>
          <c:tx>
            <c:strRef>
              <c:f>Sheet1!$D$47</c:f>
              <c:strCache>
                <c:ptCount val="1"/>
                <c:pt idx="0">
                  <c:v>Chilled water</c:v>
                </c:pt>
              </c:strCache>
            </c:strRef>
          </c:tx>
          <c:spPr>
            <a:solidFill>
              <a:srgbClr val="A5A5A5"/>
            </a:solidFill>
            <a:ln w="25400">
              <a:noFill/>
            </a:ln>
          </c:spPr>
          <c:invertIfNegative val="0"/>
          <c:cat>
            <c:strRef>
              <c:f>Sheet1!$A$48:$A$59</c:f>
              <c:strCache>
                <c:ptCount val="12"/>
                <c:pt idx="0">
                  <c:v>07/2015</c:v>
                </c:pt>
                <c:pt idx="1">
                  <c:v>08/2015</c:v>
                </c:pt>
                <c:pt idx="2">
                  <c:v>09/2015</c:v>
                </c:pt>
                <c:pt idx="3">
                  <c:v>10/2015</c:v>
                </c:pt>
                <c:pt idx="4">
                  <c:v>11/2015</c:v>
                </c:pt>
                <c:pt idx="5">
                  <c:v>12/2015</c:v>
                </c:pt>
                <c:pt idx="6">
                  <c:v>01/2016</c:v>
                </c:pt>
                <c:pt idx="7">
                  <c:v>02/2016</c:v>
                </c:pt>
                <c:pt idx="8">
                  <c:v>03/2016</c:v>
                </c:pt>
                <c:pt idx="9">
                  <c:v>04/2016</c:v>
                </c:pt>
                <c:pt idx="10">
                  <c:v>05/2016</c:v>
                </c:pt>
                <c:pt idx="11">
                  <c:v>06/2016</c:v>
                </c:pt>
              </c:strCache>
            </c:strRef>
          </c:cat>
          <c:val>
            <c:numRef>
              <c:f>Sheet1!$D$48:$D$59</c:f>
              <c:numCache>
                <c:formatCode>#,##0</c:formatCode>
                <c:ptCount val="12"/>
                <c:pt idx="0">
                  <c:v>576.0</c:v>
                </c:pt>
                <c:pt idx="1">
                  <c:v>615.0</c:v>
                </c:pt>
                <c:pt idx="2">
                  <c:v>617.01</c:v>
                </c:pt>
                <c:pt idx="3">
                  <c:v>630.02</c:v>
                </c:pt>
                <c:pt idx="4">
                  <c:v>362.0</c:v>
                </c:pt>
                <c:pt idx="5">
                  <c:v>248.0</c:v>
                </c:pt>
                <c:pt idx="6">
                  <c:v>199.0</c:v>
                </c:pt>
                <c:pt idx="7">
                  <c:v>166.0</c:v>
                </c:pt>
                <c:pt idx="8">
                  <c:v>188.0</c:v>
                </c:pt>
                <c:pt idx="9">
                  <c:v>265.89</c:v>
                </c:pt>
                <c:pt idx="10">
                  <c:v>343.03</c:v>
                </c:pt>
                <c:pt idx="11">
                  <c:v>409.03</c:v>
                </c:pt>
              </c:numCache>
            </c:numRef>
          </c:val>
        </c:ser>
        <c:dLbls>
          <c:showLegendKey val="0"/>
          <c:showVal val="0"/>
          <c:showCatName val="0"/>
          <c:showSerName val="0"/>
          <c:showPercent val="0"/>
          <c:showBubbleSize val="0"/>
        </c:dLbls>
        <c:gapWidth val="150"/>
        <c:overlap val="100"/>
        <c:axId val="1719135984"/>
        <c:axId val="1719241136"/>
      </c:barChart>
      <c:catAx>
        <c:axId val="1719135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9241136"/>
        <c:crosses val="autoZero"/>
        <c:auto val="1"/>
        <c:lblAlgn val="ctr"/>
        <c:lblOffset val="100"/>
        <c:noMultiLvlLbl val="0"/>
      </c:catAx>
      <c:valAx>
        <c:axId val="17192411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9135984"/>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sz="1200"/>
              <a:t>Total Energy use by year (MMBTU)</a:t>
            </a:r>
          </a:p>
        </c:rich>
      </c:tx>
      <c:layout>
        <c:manualLayout>
          <c:xMode val="edge"/>
          <c:yMode val="edge"/>
          <c:x val="0.266947027364845"/>
          <c:y val="0.00451539667381394"/>
        </c:manualLayout>
      </c:layout>
      <c:overlay val="0"/>
      <c:spPr>
        <a:noFill/>
        <a:ln>
          <a:noFill/>
        </a:ln>
        <a:effectLst/>
      </c:spPr>
      <c:txPr>
        <a:bodyPr rot="0" spcFirstLastPara="1" vertOverflow="ellipsis" vert="horz" wrap="square" anchor="ctr" anchorCtr="1"/>
        <a:lstStyle/>
        <a:p>
          <a:pPr>
            <a:defRPr sz="12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manualLayout>
          <c:layoutTarget val="inner"/>
          <c:xMode val="edge"/>
          <c:yMode val="edge"/>
          <c:x val="0.088669964175956"/>
          <c:y val="0.144143835616438"/>
          <c:w val="0.87668800349148"/>
          <c:h val="0.686084295113796"/>
        </c:manualLayout>
      </c:layout>
      <c:barChart>
        <c:barDir val="col"/>
        <c:grouping val="stacked"/>
        <c:varyColors val="0"/>
        <c:ser>
          <c:idx val="0"/>
          <c:order val="0"/>
          <c:tx>
            <c:v>MMBTU</c:v>
          </c:tx>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0.00231481481481481"/>
                  <c:y val="-0.174151559462865"/>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0.00578694590259549"/>
                  <c:y val="-0.244123372891475"/>
                </c:manualLayout>
              </c:layout>
              <c:numFmt formatCode="#,##0" sourceLinked="0"/>
              <c:spPr>
                <a:noFill/>
                <a:ln>
                  <a:noFill/>
                </a:ln>
                <a:effectLst/>
              </c:spPr>
              <c:txPr>
                <a:bodyPr rot="0" spcFirstLastPara="1" vertOverflow="ellipsis" vert="horz" wrap="square" lIns="38100" tIns="19050" rIns="38100" bIns="19050" anchor="ctr" anchorCtr="1">
                  <a:noAutofit/>
                </a:bodyPr>
                <a:lstStyle/>
                <a:p>
                  <a:pPr>
                    <a:defRPr sz="1197"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layout>
                    <c:manualLayout>
                      <c:w val="0.107199074074074"/>
                      <c:h val="0.0521456096013544"/>
                    </c:manualLayout>
                  </c15:layout>
                </c:ext>
              </c:extLst>
            </c:dLbl>
            <c:dLbl>
              <c:idx val="2"/>
              <c:layout>
                <c:manualLayout>
                  <c:x val="0.00231481481481481"/>
                  <c:y val="-0.127911463454148"/>
                </c:manualLayout>
              </c:layout>
              <c:numFmt formatCode="#,##0" sourceLinked="0"/>
              <c:spPr>
                <a:noFill/>
                <a:ln>
                  <a:noFill/>
                </a:ln>
                <a:effectLst/>
              </c:spPr>
              <c:txPr>
                <a:bodyPr rot="0" spcFirstLastPara="1" vertOverflow="ellipsis" vert="horz" wrap="square" lIns="38100" tIns="19050" rIns="38100" bIns="19050" anchor="ctr" anchorCtr="1">
                  <a:noAutofit/>
                </a:bodyPr>
                <a:lstStyle/>
                <a:p>
                  <a:pPr>
                    <a:defRPr sz="1197"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layout>
                    <c:manualLayout>
                      <c:w val="0.105115740740741"/>
                      <c:h val="0.071302703503395"/>
                    </c:manualLayout>
                  </c15:layout>
                </c:ext>
              </c:extLst>
            </c:dLbl>
            <c:dLbl>
              <c:idx val="3"/>
              <c:layout>
                <c:manualLayout>
                  <c:x val="0.00694444444444444"/>
                  <c:y val="-0.12756482564480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0.00925925925925926"/>
                  <c:y val="-0.14425502888799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5"/>
              <c:layout>
                <c:manualLayout>
                  <c:x val="-8.48755627201376E-17"/>
                  <c:y val="-0.359914127949476"/>
                </c:manualLayout>
              </c:layout>
              <c:dLblPos val="ctr"/>
              <c:showLegendKey val="0"/>
              <c:showVal val="1"/>
              <c:showCatName val="0"/>
              <c:showSerName val="0"/>
              <c:showPercent val="0"/>
              <c:showBubbleSize val="0"/>
              <c:extLst>
                <c:ext xmlns:c15="http://schemas.microsoft.com/office/drawing/2012/chart" uri="{CE6537A1-D6FC-4f65-9D91-7224C49458BB}"/>
              </c:extLst>
            </c:dLbl>
            <c:dLbl>
              <c:idx val="6"/>
              <c:layout>
                <c:manualLayout>
                  <c:x val="0.0"/>
                  <c:y val="-0.3071678604905"/>
                </c:manualLayout>
              </c:layout>
              <c:dLblPos val="ctr"/>
              <c:showLegendKey val="0"/>
              <c:showVal val="1"/>
              <c:showCatName val="0"/>
              <c:showSerName val="0"/>
              <c:showPercent val="0"/>
              <c:showBubbleSize val="0"/>
              <c:extLst>
                <c:ext xmlns:c15="http://schemas.microsoft.com/office/drawing/2012/chart" uri="{CE6537A1-D6FC-4f65-9D91-7224C49458BB}"/>
              </c:extLst>
            </c:dLbl>
            <c:dLbl>
              <c:idx val="7"/>
              <c:layout>
                <c:manualLayout>
                  <c:x val="-0.00694444444444461"/>
                  <c:y val="-0.205766194758559"/>
                </c:manualLayout>
              </c:layout>
              <c:dLblPos val="ctr"/>
              <c:showLegendKey val="0"/>
              <c:showVal val="1"/>
              <c:showCatName val="0"/>
              <c:showSerName val="0"/>
              <c:showPercent val="0"/>
              <c:showBubbleSize val="0"/>
              <c:extLst>
                <c:ext xmlns:c15="http://schemas.microsoft.com/office/drawing/2012/chart" uri="{CE6537A1-D6FC-4f65-9D91-7224C49458BB}"/>
              </c:extLst>
            </c:dLbl>
            <c:dLbl>
              <c:idx val="8"/>
              <c:layout>
                <c:manualLayout>
                  <c:x val="0.00694444444444444"/>
                  <c:y val="-0.203759979412912"/>
                </c:manualLayout>
              </c:layout>
              <c:dLblPos val="ctr"/>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[1]Sheet1!$A$2:$A$10</c:f>
              <c:numCache>
                <c:formatCode>General</c:formatCode>
                <c:ptCount val="9"/>
                <c:pt idx="0">
                  <c:v>2008.0</c:v>
                </c:pt>
                <c:pt idx="1">
                  <c:v>2009.0</c:v>
                </c:pt>
                <c:pt idx="2">
                  <c:v>2010.0</c:v>
                </c:pt>
                <c:pt idx="3">
                  <c:v>2011.0</c:v>
                </c:pt>
                <c:pt idx="4">
                  <c:v>2012.0</c:v>
                </c:pt>
                <c:pt idx="5">
                  <c:v>2013.0</c:v>
                </c:pt>
                <c:pt idx="6">
                  <c:v>2014.0</c:v>
                </c:pt>
                <c:pt idx="7">
                  <c:v>2015.0</c:v>
                </c:pt>
                <c:pt idx="8">
                  <c:v>2016.0</c:v>
                </c:pt>
              </c:numCache>
            </c:numRef>
          </c:cat>
          <c:val>
            <c:numRef>
              <c:f>[1]Sheet1!$B$2:$B$10</c:f>
              <c:numCache>
                <c:formatCode>General</c:formatCode>
                <c:ptCount val="9"/>
                <c:pt idx="0">
                  <c:v>12695.0</c:v>
                </c:pt>
                <c:pt idx="1">
                  <c:v>12827.0</c:v>
                </c:pt>
                <c:pt idx="2">
                  <c:v>8891.0</c:v>
                </c:pt>
                <c:pt idx="3">
                  <c:v>5076.0</c:v>
                </c:pt>
                <c:pt idx="4">
                  <c:v>7768.0</c:v>
                </c:pt>
                <c:pt idx="5">
                  <c:v>38571.0</c:v>
                </c:pt>
                <c:pt idx="6">
                  <c:v>30144.0</c:v>
                </c:pt>
                <c:pt idx="7">
                  <c:v>13324.0</c:v>
                </c:pt>
                <c:pt idx="8">
                  <c:v>14066.0</c:v>
                </c:pt>
              </c:numCache>
            </c:numRef>
          </c:val>
        </c:ser>
        <c:dLbls>
          <c:dLblPos val="ctr"/>
          <c:showLegendKey val="0"/>
          <c:showVal val="1"/>
          <c:showCatName val="0"/>
          <c:showSerName val="0"/>
          <c:showPercent val="0"/>
          <c:showBubbleSize val="0"/>
        </c:dLbls>
        <c:gapWidth val="150"/>
        <c:overlap val="100"/>
        <c:axId val="1764342048"/>
        <c:axId val="1764562064"/>
      </c:barChart>
      <c:catAx>
        <c:axId val="1764342048"/>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1197" b="0" i="0" u="none" strike="noStrike" kern="1200" baseline="0">
                <a:solidFill>
                  <a:schemeClr val="lt1">
                    <a:lumMod val="85000"/>
                  </a:schemeClr>
                </a:solidFill>
                <a:latin typeface="+mn-lt"/>
                <a:ea typeface="+mn-ea"/>
                <a:cs typeface="+mn-cs"/>
              </a:defRPr>
            </a:pPr>
            <a:endParaRPr lang="en-US"/>
          </a:p>
        </c:txPr>
        <c:crossAx val="1764562064"/>
        <c:crosses val="autoZero"/>
        <c:auto val="1"/>
        <c:lblAlgn val="ctr"/>
        <c:lblOffset val="100"/>
        <c:noMultiLvlLbl val="0"/>
      </c:catAx>
      <c:valAx>
        <c:axId val="1764562064"/>
        <c:scaling>
          <c:orientation val="minMax"/>
        </c:scaling>
        <c:delete val="0"/>
        <c:axPos val="l"/>
        <c:majorGridlines>
          <c:spPr>
            <a:ln w="9525" cap="flat" cmpd="sng" algn="ctr">
              <a:solidFill>
                <a:schemeClr val="lt1">
                  <a:lumMod val="95000"/>
                  <a:alpha val="10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lt1">
                    <a:lumMod val="85000"/>
                  </a:schemeClr>
                </a:solidFill>
                <a:latin typeface="+mn-lt"/>
                <a:ea typeface="+mn-ea"/>
                <a:cs typeface="+mn-cs"/>
              </a:defRPr>
            </a:pPr>
            <a:endParaRPr lang="en-US"/>
          </a:p>
        </c:txPr>
        <c:crossAx val="176434204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sz="2000" dirty="0" smtClean="0"/>
              <a:t>EUI </a:t>
            </a:r>
            <a:r>
              <a:rPr lang="en-US" sz="2000" dirty="0"/>
              <a:t>by year (BTU/GSF)</a:t>
            </a:r>
          </a:p>
        </c:rich>
      </c:tx>
      <c:overlay val="0"/>
      <c:spPr>
        <a:noFill/>
        <a:ln>
          <a:noFill/>
        </a:ln>
        <a:effectLst/>
      </c:spPr>
      <c:txPr>
        <a:bodyPr rot="0" spcFirstLastPara="1" vertOverflow="ellipsis" vert="horz" wrap="square" anchor="ctr" anchorCtr="1"/>
        <a:lstStyle/>
        <a:p>
          <a:pPr>
            <a:defRPr sz="20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stacked"/>
        <c:varyColors val="0"/>
        <c:ser>
          <c:idx val="1"/>
          <c:order val="0"/>
          <c:tx>
            <c:strRef>
              <c:f>Sheet4!$B$1</c:f>
              <c:strCache>
                <c:ptCount val="1"/>
                <c:pt idx="0">
                  <c:v>BTU/GSF</c:v>
                </c:pt>
              </c:strCache>
            </c:strRef>
          </c:tx>
          <c:spPr>
            <a:solidFill>
              <a:schemeClr val="tx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0.00874141978477083"/>
                  <c:y val="-0.255533257576976"/>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0.0028603532738996"/>
                  <c:y val="-0.150445123791628"/>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0.0229630061727324"/>
                  <c:y val="-0.18050954823412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0.0"/>
                  <c:y val="-0.104633604424996"/>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0.00548016660319085"/>
                  <c:y val="-0.15413800966414"/>
                </c:manualLayout>
              </c:layout>
              <c:dLblPos val="ctr"/>
              <c:showLegendKey val="0"/>
              <c:showVal val="1"/>
              <c:showCatName val="0"/>
              <c:showSerName val="0"/>
              <c:showPercent val="0"/>
              <c:showBubbleSize val="0"/>
              <c:extLst>
                <c:ext xmlns:c15="http://schemas.microsoft.com/office/drawing/2012/chart" uri="{CE6537A1-D6FC-4f65-9D91-7224C49458BB}"/>
              </c:extLst>
            </c:dLbl>
            <c:dLbl>
              <c:idx val="5"/>
              <c:layout>
                <c:manualLayout>
                  <c:x val="-1.07819218957139E-16"/>
                  <c:y val="-0.322271501628989"/>
                </c:manualLayout>
              </c:layout>
              <c:dLblPos val="ctr"/>
              <c:showLegendKey val="0"/>
              <c:showVal val="1"/>
              <c:showCatName val="0"/>
              <c:showSerName val="0"/>
              <c:showPercent val="0"/>
              <c:showBubbleSize val="0"/>
              <c:extLst>
                <c:ext xmlns:c15="http://schemas.microsoft.com/office/drawing/2012/chart" uri="{CE6537A1-D6FC-4f65-9D91-7224C49458BB}"/>
              </c:extLst>
            </c:dLbl>
            <c:dLbl>
              <c:idx val="6"/>
              <c:layout>
                <c:manualLayout>
                  <c:x val="0.0"/>
                  <c:y val="-0.27623271568199"/>
                </c:manualLayout>
              </c:layout>
              <c:dLblPos val="ctr"/>
              <c:showLegendKey val="0"/>
              <c:showVal val="1"/>
              <c:showCatName val="0"/>
              <c:showSerName val="0"/>
              <c:showPercent val="0"/>
              <c:showBubbleSize val="0"/>
              <c:extLst>
                <c:ext xmlns:c15="http://schemas.microsoft.com/office/drawing/2012/chart" uri="{CE6537A1-D6FC-4f65-9D91-7224C49458BB}"/>
              </c:extLst>
            </c:dLbl>
            <c:dLbl>
              <c:idx val="7"/>
              <c:layout>
                <c:manualLayout>
                  <c:x val="-0.00588111624512492"/>
                  <c:y val="-0.163228422902994"/>
                </c:manualLayout>
              </c:layout>
              <c:dLblPos val="ctr"/>
              <c:showLegendKey val="0"/>
              <c:showVal val="1"/>
              <c:showCatName val="0"/>
              <c:showSerName val="0"/>
              <c:showPercent val="0"/>
              <c:showBubbleSize val="0"/>
              <c:extLst>
                <c:ext xmlns:c15="http://schemas.microsoft.com/office/drawing/2012/chart" uri="{CE6537A1-D6FC-4f65-9D91-7224C49458BB}"/>
              </c:extLst>
            </c:dLbl>
            <c:dLbl>
              <c:idx val="8"/>
              <c:layout>
                <c:manualLayout>
                  <c:x val="-0.0176433487353748"/>
                  <c:y val="-0.230193929734992"/>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lt1">
                        <a:lumMod val="8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Sheet4!$A$2:$A$10</c:f>
              <c:numCache>
                <c:formatCode>General</c:formatCode>
                <c:ptCount val="9"/>
                <c:pt idx="0">
                  <c:v>2008.0</c:v>
                </c:pt>
                <c:pt idx="1">
                  <c:v>2009.0</c:v>
                </c:pt>
                <c:pt idx="2">
                  <c:v>2010.0</c:v>
                </c:pt>
                <c:pt idx="3">
                  <c:v>2011.0</c:v>
                </c:pt>
                <c:pt idx="4">
                  <c:v>2012.0</c:v>
                </c:pt>
                <c:pt idx="5">
                  <c:v>2013.0</c:v>
                </c:pt>
                <c:pt idx="6">
                  <c:v>2014.0</c:v>
                </c:pt>
                <c:pt idx="7">
                  <c:v>2015.0</c:v>
                </c:pt>
                <c:pt idx="8">
                  <c:v>2016.0</c:v>
                </c:pt>
              </c:numCache>
            </c:numRef>
          </c:cat>
          <c:val>
            <c:numRef>
              <c:f>Sheet4!$B$2:$B$10</c:f>
              <c:numCache>
                <c:formatCode>#,##0</c:formatCode>
                <c:ptCount val="9"/>
                <c:pt idx="0">
                  <c:v>74187.27099537739</c:v>
                </c:pt>
                <c:pt idx="1">
                  <c:v>74958.6549868222</c:v>
                </c:pt>
                <c:pt idx="2">
                  <c:v>51957.3868782908</c:v>
                </c:pt>
                <c:pt idx="3">
                  <c:v>29663.22076191701</c:v>
                </c:pt>
                <c:pt idx="4">
                  <c:v>45394.77913289427</c:v>
                </c:pt>
                <c:pt idx="5">
                  <c:v>219342.8415449707</c:v>
                </c:pt>
                <c:pt idx="6">
                  <c:v>171420.7724853282</c:v>
                </c:pt>
                <c:pt idx="7">
                  <c:v>75769.98316728083</c:v>
                </c:pt>
                <c:pt idx="8">
                  <c:v>79989.53641781538</c:v>
                </c:pt>
              </c:numCache>
            </c:numRef>
          </c:val>
        </c:ser>
        <c:dLbls>
          <c:dLblPos val="ctr"/>
          <c:showLegendKey val="0"/>
          <c:showVal val="1"/>
          <c:showCatName val="0"/>
          <c:showSerName val="0"/>
          <c:showPercent val="0"/>
          <c:showBubbleSize val="0"/>
        </c:dLbls>
        <c:gapWidth val="150"/>
        <c:overlap val="100"/>
        <c:axId val="1764144000"/>
        <c:axId val="1764146048"/>
      </c:barChart>
      <c:catAx>
        <c:axId val="1764144000"/>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1197" b="0" i="0" u="none" strike="noStrike" kern="1200" baseline="0">
                <a:solidFill>
                  <a:schemeClr val="lt1">
                    <a:lumMod val="85000"/>
                  </a:schemeClr>
                </a:solidFill>
                <a:latin typeface="+mn-lt"/>
                <a:ea typeface="+mn-ea"/>
                <a:cs typeface="+mn-cs"/>
              </a:defRPr>
            </a:pPr>
            <a:endParaRPr lang="en-US"/>
          </a:p>
        </c:txPr>
        <c:crossAx val="1764146048"/>
        <c:crosses val="autoZero"/>
        <c:auto val="1"/>
        <c:lblAlgn val="ctr"/>
        <c:lblOffset val="100"/>
        <c:noMultiLvlLbl val="0"/>
      </c:catAx>
      <c:valAx>
        <c:axId val="1764146048"/>
        <c:scaling>
          <c:orientation val="minMax"/>
        </c:scaling>
        <c:delete val="0"/>
        <c:axPos val="l"/>
        <c:majorGridlines>
          <c:spPr>
            <a:ln w="9525" cap="flat" cmpd="sng" algn="ctr">
              <a:solidFill>
                <a:schemeClr val="lt1">
                  <a:lumMod val="95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lt1">
                    <a:lumMod val="85000"/>
                  </a:schemeClr>
                </a:solidFill>
                <a:latin typeface="+mn-lt"/>
                <a:ea typeface="+mn-ea"/>
                <a:cs typeface="+mn-cs"/>
              </a:defRPr>
            </a:pPr>
            <a:endParaRPr lang="en-US"/>
          </a:p>
        </c:txPr>
        <c:crossAx val="1764144000"/>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chemeClr val="tx1"/>
                </a:solidFill>
              </a:rPr>
              <a:t>Total MMBTU at Soybean</a:t>
            </a:r>
            <a:r>
              <a:rPr lang="en-US" baseline="0">
                <a:solidFill>
                  <a:schemeClr val="tx1"/>
                </a:solidFill>
              </a:rPr>
              <a:t> National Laboratory</a:t>
            </a:r>
            <a:endParaRPr lang="en-US">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Soybean!$B$1</c:f>
              <c:strCache>
                <c:ptCount val="1"/>
                <c:pt idx="0">
                  <c:v>Total MBTU</c:v>
                </c:pt>
              </c:strCache>
            </c:strRef>
          </c:tx>
          <c:spPr>
            <a:solidFill>
              <a:schemeClr val="accent1"/>
            </a:solidFill>
            <a:ln>
              <a:noFill/>
            </a:ln>
            <a:effectLst/>
          </c:spPr>
          <c:invertIfNegative val="0"/>
          <c:cat>
            <c:numRef>
              <c:f>Soybean!$A$2:$A$10</c:f>
              <c:numCache>
                <c:formatCode>General</c:formatCode>
                <c:ptCount val="9"/>
                <c:pt idx="0">
                  <c:v>2008.0</c:v>
                </c:pt>
                <c:pt idx="1">
                  <c:v>2009.0</c:v>
                </c:pt>
                <c:pt idx="2">
                  <c:v>2010.0</c:v>
                </c:pt>
                <c:pt idx="3">
                  <c:v>2011.0</c:v>
                </c:pt>
                <c:pt idx="4">
                  <c:v>2012.0</c:v>
                </c:pt>
                <c:pt idx="5">
                  <c:v>2013.0</c:v>
                </c:pt>
                <c:pt idx="6">
                  <c:v>2014.0</c:v>
                </c:pt>
                <c:pt idx="7">
                  <c:v>2015.0</c:v>
                </c:pt>
                <c:pt idx="8">
                  <c:v>2016.0</c:v>
                </c:pt>
              </c:numCache>
            </c:numRef>
          </c:cat>
          <c:val>
            <c:numRef>
              <c:f>Soybean!$B$2:$B$10</c:f>
              <c:numCache>
                <c:formatCode>#,##0</c:formatCode>
                <c:ptCount val="9"/>
                <c:pt idx="0">
                  <c:v>27394.0</c:v>
                </c:pt>
                <c:pt idx="1">
                  <c:v>29308.0</c:v>
                </c:pt>
                <c:pt idx="2">
                  <c:v>27782.0</c:v>
                </c:pt>
                <c:pt idx="3">
                  <c:v>31463.0</c:v>
                </c:pt>
                <c:pt idx="4">
                  <c:v>30801.0</c:v>
                </c:pt>
                <c:pt idx="5">
                  <c:v>34258.0</c:v>
                </c:pt>
                <c:pt idx="6">
                  <c:v>34218.0</c:v>
                </c:pt>
                <c:pt idx="7">
                  <c:v>29797.0</c:v>
                </c:pt>
                <c:pt idx="8">
                  <c:v>28364.0</c:v>
                </c:pt>
              </c:numCache>
            </c:numRef>
          </c:val>
        </c:ser>
        <c:dLbls>
          <c:showLegendKey val="0"/>
          <c:showVal val="0"/>
          <c:showCatName val="0"/>
          <c:showSerName val="0"/>
          <c:showPercent val="0"/>
          <c:showBubbleSize val="0"/>
        </c:dLbls>
        <c:gapWidth val="219"/>
        <c:overlap val="-27"/>
        <c:axId val="1719448992"/>
        <c:axId val="1719429728"/>
      </c:barChart>
      <c:catAx>
        <c:axId val="1719448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9429728"/>
        <c:crosses val="autoZero"/>
        <c:auto val="1"/>
        <c:lblAlgn val="ctr"/>
        <c:lblOffset val="100"/>
        <c:noMultiLvlLbl val="0"/>
      </c:catAx>
      <c:valAx>
        <c:axId val="1719429728"/>
        <c:scaling>
          <c:orientation val="minMax"/>
        </c:scaling>
        <c:delete val="0"/>
        <c:axPos val="l"/>
        <c:majorGridlines>
          <c:spPr>
            <a:ln w="9525" cap="flat" cmpd="sng" algn="ctr">
              <a:solidFill>
                <a:schemeClr val="tx1">
                  <a:lumMod val="15000"/>
                  <a:lumOff val="85000"/>
                </a:schemeClr>
              </a:solidFill>
              <a:round/>
            </a:ln>
            <a:effectLst/>
          </c:spPr>
        </c:majorGridlines>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9448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all" spc="150" baseline="0">
                <a:solidFill>
                  <a:schemeClr val="tx1"/>
                </a:solidFill>
                <a:latin typeface="+mn-lt"/>
                <a:ea typeface="+mn-ea"/>
                <a:cs typeface="+mn-cs"/>
              </a:defRPr>
            </a:pPr>
            <a:r>
              <a:rPr lang="en-US" sz="1600" b="0">
                <a:solidFill>
                  <a:schemeClr val="tx1"/>
                </a:solidFill>
              </a:rPr>
              <a:t>EUI by year (BTU/GSF) At</a:t>
            </a:r>
            <a:r>
              <a:rPr lang="en-US" sz="1600" b="0" baseline="0">
                <a:solidFill>
                  <a:schemeClr val="tx1"/>
                </a:solidFill>
              </a:rPr>
              <a:t> soybean national laboratory</a:t>
            </a:r>
            <a:endParaRPr lang="en-US" sz="1600" b="0">
              <a:solidFill>
                <a:schemeClr val="tx1"/>
              </a:solidFill>
            </a:endParaRPr>
          </a:p>
        </c:rich>
      </c:tx>
      <c:overlay val="0"/>
      <c:spPr>
        <a:noFill/>
        <a:ln>
          <a:noFill/>
        </a:ln>
        <a:effectLst/>
      </c:spPr>
      <c:txPr>
        <a:bodyPr rot="0" spcFirstLastPara="1" vertOverflow="ellipsis" vert="horz" wrap="square" anchor="ctr" anchorCtr="1"/>
        <a:lstStyle/>
        <a:p>
          <a:pPr>
            <a:defRPr sz="1600" b="0" i="0" u="none" strike="noStrike" kern="1200" cap="all" spc="15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Soybean!$B$19</c:f>
              <c:strCache>
                <c:ptCount val="1"/>
                <c:pt idx="0">
                  <c:v>BTU/GSF</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Soybean!$A$20:$A$28</c:f>
              <c:numCache>
                <c:formatCode>General</c:formatCode>
                <c:ptCount val="9"/>
                <c:pt idx="0">
                  <c:v>2008.0</c:v>
                </c:pt>
                <c:pt idx="1">
                  <c:v>2009.0</c:v>
                </c:pt>
                <c:pt idx="2">
                  <c:v>2010.0</c:v>
                </c:pt>
                <c:pt idx="3">
                  <c:v>2011.0</c:v>
                </c:pt>
                <c:pt idx="4">
                  <c:v>2012.0</c:v>
                </c:pt>
                <c:pt idx="5">
                  <c:v>2013.0</c:v>
                </c:pt>
                <c:pt idx="6">
                  <c:v>2014.0</c:v>
                </c:pt>
                <c:pt idx="7">
                  <c:v>2015.0</c:v>
                </c:pt>
                <c:pt idx="8">
                  <c:v>2016.0</c:v>
                </c:pt>
              </c:numCache>
            </c:numRef>
          </c:cat>
          <c:val>
            <c:numRef>
              <c:f>Soybean!$B$20:$B$28</c:f>
              <c:numCache>
                <c:formatCode>#,##0</c:formatCode>
                <c:ptCount val="9"/>
                <c:pt idx="0">
                  <c:v>277112.9431996358</c:v>
                </c:pt>
                <c:pt idx="1">
                  <c:v>296474.6345657781</c:v>
                </c:pt>
                <c:pt idx="2">
                  <c:v>281037.8837691568</c:v>
                </c:pt>
                <c:pt idx="3">
                  <c:v>318274.2400485559</c:v>
                </c:pt>
                <c:pt idx="4">
                  <c:v>311577.563097466</c:v>
                </c:pt>
                <c:pt idx="5">
                  <c:v>346547.9743058014</c:v>
                </c:pt>
                <c:pt idx="6">
                  <c:v>346143.3412573955</c:v>
                </c:pt>
                <c:pt idx="7">
                  <c:v>301421.27358252</c:v>
                </c:pt>
                <c:pt idx="8">
                  <c:v>286925.2946234384</c:v>
                </c:pt>
              </c:numCache>
            </c:numRef>
          </c:val>
        </c:ser>
        <c:dLbls>
          <c:dLblPos val="inEnd"/>
          <c:showLegendKey val="0"/>
          <c:showVal val="1"/>
          <c:showCatName val="0"/>
          <c:showSerName val="0"/>
          <c:showPercent val="0"/>
          <c:showBubbleSize val="0"/>
        </c:dLbls>
        <c:gapWidth val="164"/>
        <c:overlap val="-22"/>
        <c:axId val="1764130144"/>
        <c:axId val="1764155200"/>
      </c:barChart>
      <c:catAx>
        <c:axId val="176413014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4155200"/>
        <c:crosses val="autoZero"/>
        <c:auto val="1"/>
        <c:lblAlgn val="ctr"/>
        <c:lblOffset val="100"/>
        <c:noMultiLvlLbl val="0"/>
      </c:catAx>
      <c:valAx>
        <c:axId val="1764155200"/>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4130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chemeClr val="tx1"/>
                </a:solidFill>
              </a:rPr>
              <a:t>Total MMBTU at</a:t>
            </a:r>
            <a:r>
              <a:rPr lang="en-US" b="1" baseline="0">
                <a:solidFill>
                  <a:schemeClr val="tx1"/>
                </a:solidFill>
              </a:rPr>
              <a:t> ILLINI UNION</a:t>
            </a:r>
            <a:endParaRPr lang="en-US" b="1">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'Illini Union'!$B$1</c:f>
              <c:strCache>
                <c:ptCount val="1"/>
                <c:pt idx="0">
                  <c:v>Total MBTU</c:v>
                </c:pt>
              </c:strCache>
            </c:strRef>
          </c:tx>
          <c:spPr>
            <a:solidFill>
              <a:schemeClr val="accent2"/>
            </a:solidFill>
            <a:ln>
              <a:noFill/>
            </a:ln>
            <a:effectLst/>
          </c:spPr>
          <c:invertIfNegative val="0"/>
          <c:cat>
            <c:numRef>
              <c:f>'Illini Union'!$A$2:$A$10</c:f>
              <c:numCache>
                <c:formatCode>General</c:formatCode>
                <c:ptCount val="9"/>
                <c:pt idx="0">
                  <c:v>2008.0</c:v>
                </c:pt>
                <c:pt idx="1">
                  <c:v>2009.0</c:v>
                </c:pt>
                <c:pt idx="2">
                  <c:v>2010.0</c:v>
                </c:pt>
                <c:pt idx="3">
                  <c:v>2011.0</c:v>
                </c:pt>
                <c:pt idx="4">
                  <c:v>2012.0</c:v>
                </c:pt>
                <c:pt idx="5">
                  <c:v>2013.0</c:v>
                </c:pt>
                <c:pt idx="6">
                  <c:v>2014.0</c:v>
                </c:pt>
                <c:pt idx="7">
                  <c:v>2015.0</c:v>
                </c:pt>
                <c:pt idx="8">
                  <c:v>2016.0</c:v>
                </c:pt>
              </c:numCache>
            </c:numRef>
          </c:cat>
          <c:val>
            <c:numRef>
              <c:f>'Illini Union'!$B$2:$B$10</c:f>
              <c:numCache>
                <c:formatCode>#,##0</c:formatCode>
                <c:ptCount val="9"/>
                <c:pt idx="0">
                  <c:v>66360.0</c:v>
                </c:pt>
                <c:pt idx="1">
                  <c:v>70888.0</c:v>
                </c:pt>
                <c:pt idx="2">
                  <c:v>67565.0</c:v>
                </c:pt>
                <c:pt idx="3">
                  <c:v>71406.0</c:v>
                </c:pt>
                <c:pt idx="4">
                  <c:v>72906.0</c:v>
                </c:pt>
                <c:pt idx="5">
                  <c:v>68663.0</c:v>
                </c:pt>
                <c:pt idx="6">
                  <c:v>73605.0</c:v>
                </c:pt>
                <c:pt idx="7">
                  <c:v>69837.0</c:v>
                </c:pt>
                <c:pt idx="8">
                  <c:v>68357.0</c:v>
                </c:pt>
              </c:numCache>
            </c:numRef>
          </c:val>
        </c:ser>
        <c:dLbls>
          <c:showLegendKey val="0"/>
          <c:showVal val="0"/>
          <c:showCatName val="0"/>
          <c:showSerName val="0"/>
          <c:showPercent val="0"/>
          <c:showBubbleSize val="0"/>
        </c:dLbls>
        <c:gapWidth val="219"/>
        <c:overlap val="-27"/>
        <c:axId val="1719201632"/>
        <c:axId val="1719203952"/>
      </c:barChart>
      <c:catAx>
        <c:axId val="1719201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9203952"/>
        <c:crosses val="autoZero"/>
        <c:auto val="1"/>
        <c:lblAlgn val="ctr"/>
        <c:lblOffset val="100"/>
        <c:noMultiLvlLbl val="0"/>
      </c:catAx>
      <c:valAx>
        <c:axId val="1719203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9201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EUI</a:t>
            </a:r>
            <a:r>
              <a:rPr lang="en-US" baseline="0"/>
              <a:t> by year  (</a:t>
            </a:r>
            <a:r>
              <a:rPr lang="en-US"/>
              <a:t>BTU/GSF) at ILLINI UNION</a:t>
            </a:r>
          </a:p>
        </c:rich>
      </c:tx>
      <c:layout>
        <c:manualLayout>
          <c:xMode val="edge"/>
          <c:yMode val="edge"/>
          <c:x val="0.250097112860892"/>
          <c:y val="0.0766129032258064"/>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'Illini Union'!$B$18</c:f>
              <c:strCache>
                <c:ptCount val="1"/>
                <c:pt idx="0">
                  <c:v>BTU/GSF</c:v>
                </c:pt>
              </c:strCache>
            </c:strRef>
          </c:tx>
          <c:spPr>
            <a:solidFill>
              <a:schemeClr val="accent2"/>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'Illini Union'!$A$19:$A$27</c:f>
              <c:numCache>
                <c:formatCode>General</c:formatCode>
                <c:ptCount val="9"/>
                <c:pt idx="0">
                  <c:v>2008.0</c:v>
                </c:pt>
                <c:pt idx="1">
                  <c:v>2009.0</c:v>
                </c:pt>
                <c:pt idx="2">
                  <c:v>2010.0</c:v>
                </c:pt>
                <c:pt idx="3">
                  <c:v>2011.0</c:v>
                </c:pt>
                <c:pt idx="4">
                  <c:v>2012.0</c:v>
                </c:pt>
                <c:pt idx="5">
                  <c:v>2013.0</c:v>
                </c:pt>
                <c:pt idx="6">
                  <c:v>2014.0</c:v>
                </c:pt>
                <c:pt idx="7">
                  <c:v>2015.0</c:v>
                </c:pt>
                <c:pt idx="8">
                  <c:v>2016.0</c:v>
                </c:pt>
              </c:numCache>
            </c:numRef>
          </c:cat>
          <c:val>
            <c:numRef>
              <c:f>'Illini Union'!$B$19:$B$27</c:f>
              <c:numCache>
                <c:formatCode>#,##0</c:formatCode>
                <c:ptCount val="9"/>
                <c:pt idx="0">
                  <c:v>217481.0736407433</c:v>
                </c:pt>
                <c:pt idx="1">
                  <c:v>232320.6502146626</c:v>
                </c:pt>
                <c:pt idx="2">
                  <c:v>221430.2100743945</c:v>
                </c:pt>
                <c:pt idx="3">
                  <c:v>234018.2872873857</c:v>
                </c:pt>
                <c:pt idx="4">
                  <c:v>238934.2247566611</c:v>
                </c:pt>
                <c:pt idx="5">
                  <c:v>225028.6763019041</c:v>
                </c:pt>
                <c:pt idx="6">
                  <c:v>241225.0516173434</c:v>
                </c:pt>
                <c:pt idx="7">
                  <c:v>228876.2166945236</c:v>
                </c:pt>
                <c:pt idx="8">
                  <c:v>224025.8250581719</c:v>
                </c:pt>
              </c:numCache>
            </c:numRef>
          </c:val>
        </c:ser>
        <c:dLbls>
          <c:dLblPos val="inEnd"/>
          <c:showLegendKey val="0"/>
          <c:showVal val="1"/>
          <c:showCatName val="0"/>
          <c:showSerName val="0"/>
          <c:showPercent val="0"/>
          <c:showBubbleSize val="0"/>
        </c:dLbls>
        <c:gapWidth val="65"/>
        <c:axId val="1719387296"/>
        <c:axId val="1719389616"/>
      </c:barChart>
      <c:catAx>
        <c:axId val="171938729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719389616"/>
        <c:crosses val="autoZero"/>
        <c:auto val="1"/>
        <c:lblAlgn val="ctr"/>
        <c:lblOffset val="100"/>
        <c:noMultiLvlLbl val="0"/>
      </c:catAx>
      <c:valAx>
        <c:axId val="171938961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0"/>
        <c:majorTickMark val="none"/>
        <c:minorTickMark val="none"/>
        <c:tickLblPos val="nextTo"/>
        <c:crossAx val="171938729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04">
  <cs:axisTitle>
    <cs:lnRef idx="0"/>
    <cs:fillRef idx="0"/>
    <cs:effectRef idx="0"/>
    <cs:fontRef idx="minor">
      <a:schemeClr val="lt1">
        <a:lumMod val="85000"/>
      </a:schemeClr>
    </cs:fontRef>
    <cs:defRPr sz="1197"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1197"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330" kern="1200"/>
  </cs:chartArea>
  <cs:dataLabel>
    <cs:lnRef idx="0"/>
    <cs:fillRef idx="0"/>
    <cs:effectRef idx="0"/>
    <cs:fontRef idx="minor">
      <a:schemeClr val="lt1">
        <a:lumMod val="85000"/>
      </a:schemeClr>
    </cs:fontRef>
    <cs:defRPr sz="1197" kern="1200"/>
  </cs:dataLabel>
  <cs:dataLabelCallout>
    <cs:lnRef idx="0"/>
    <cs:fillRef idx="0"/>
    <cs:effectRef idx="0"/>
    <cs:fontRef idx="minor">
      <a:schemeClr val="dk1">
        <a:lumMod val="65000"/>
        <a:lumOff val="35000"/>
      </a:schemeClr>
    </cs:fontRef>
    <cs:spPr>
      <a:solidFill>
        <a:schemeClr val="lt1"/>
      </a:solidFill>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1197"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1197"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1197"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2128"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1197"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1197"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304">
  <cs:axisTitle>
    <cs:lnRef idx="0"/>
    <cs:fillRef idx="0"/>
    <cs:effectRef idx="0"/>
    <cs:fontRef idx="minor">
      <a:schemeClr val="lt1">
        <a:lumMod val="85000"/>
      </a:schemeClr>
    </cs:fontRef>
    <cs:defRPr sz="1197"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1197"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330" kern="1200"/>
  </cs:chartArea>
  <cs:dataLabel>
    <cs:lnRef idx="0"/>
    <cs:fillRef idx="0"/>
    <cs:effectRef idx="0"/>
    <cs:fontRef idx="minor">
      <a:schemeClr val="lt1">
        <a:lumMod val="85000"/>
      </a:schemeClr>
    </cs:fontRef>
    <cs:defRPr sz="1197" kern="1200"/>
  </cs:dataLabel>
  <cs:dataLabelCallout>
    <cs:lnRef idx="0"/>
    <cs:fillRef idx="0"/>
    <cs:effectRef idx="0"/>
    <cs:fontRef idx="minor">
      <a:schemeClr val="dk1">
        <a:lumMod val="65000"/>
        <a:lumOff val="35000"/>
      </a:schemeClr>
    </cs:fontRef>
    <cs:spPr>
      <a:solidFill>
        <a:schemeClr val="lt1"/>
      </a:solidFill>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1197"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1197"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1197"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2128"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1197"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1197"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24D7430-FCD4-CE40-8713-FEBFE45BF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223</TotalTime>
  <Pages>25</Pages>
  <Words>4742</Words>
  <Characters>27035</Characters>
  <Application>Microsoft Macintosh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31714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Murtazina, Diliya</dc:creator>
  <cp:keywords/>
  <dc:description/>
  <cp:lastModifiedBy>Microsoft Office User</cp:lastModifiedBy>
  <cp:revision>384</cp:revision>
  <dcterms:created xsi:type="dcterms:W3CDTF">2017-04-13T23:22:00Z</dcterms:created>
  <dcterms:modified xsi:type="dcterms:W3CDTF">2017-05-11T20:51:00Z</dcterms:modified>
</cp:coreProperties>
</file>