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0041" w:rsidRPr="00B30041" w:rsidRDefault="005D4FCA" w:rsidP="00B30041">
      <w:pPr>
        <w:jc w:val="center"/>
        <w:rPr>
          <w:b/>
          <w:sz w:val="28"/>
        </w:rPr>
      </w:pPr>
      <w:r>
        <w:rPr>
          <w:b/>
          <w:sz w:val="28"/>
        </w:rPr>
        <w:t>Water Fountain Retrofit</w:t>
      </w:r>
      <w:r w:rsidR="00B30041" w:rsidRPr="00B30041">
        <w:rPr>
          <w:b/>
          <w:sz w:val="28"/>
        </w:rPr>
        <w:t xml:space="preserve"> Final Report</w:t>
      </w:r>
    </w:p>
    <w:p w:rsidR="00B30041" w:rsidRDefault="00B30041" w:rsidP="00B30041">
      <w:pPr>
        <w:jc w:val="center"/>
      </w:pPr>
      <w:r>
        <w:t xml:space="preserve">By Morgan Johnston </w:t>
      </w:r>
      <w:r w:rsidR="005D4FCA">
        <w:t>–</w:t>
      </w:r>
      <w:r>
        <w:t xml:space="preserve"> </w:t>
      </w:r>
      <w:r w:rsidR="005D4FCA">
        <w:t>August 25</w:t>
      </w:r>
      <w:r>
        <w:t>, 2014</w:t>
      </w:r>
    </w:p>
    <w:p w:rsidR="00B30041" w:rsidRDefault="00B30041" w:rsidP="00B30041"/>
    <w:p w:rsidR="00B30041" w:rsidRPr="00B30041" w:rsidRDefault="00B30041" w:rsidP="00B30041">
      <w:pPr>
        <w:rPr>
          <w:b/>
          <w:u w:val="single"/>
        </w:rPr>
      </w:pPr>
      <w:r w:rsidRPr="00B30041">
        <w:rPr>
          <w:b/>
          <w:u w:val="single"/>
        </w:rPr>
        <w:t>Project purpose</w:t>
      </w:r>
    </w:p>
    <w:p w:rsidR="009402E7" w:rsidRDefault="004B4349" w:rsidP="005D4FCA">
      <w:r>
        <w:t xml:space="preserve">This project was </w:t>
      </w:r>
      <w:proofErr w:type="gramStart"/>
      <w:r>
        <w:t>to</w:t>
      </w:r>
      <w:proofErr w:type="gramEnd"/>
      <w:r>
        <w:t xml:space="preserve"> </w:t>
      </w:r>
      <w:r w:rsidR="005D4FCA">
        <w:t xml:space="preserve">funded for retrofitting existing water fountains on campus with glass fillers, to discourage the use of disposable water bottles on campus.  The concept and proposal were put forth by the </w:t>
      </w:r>
      <w:r w:rsidR="005D4FCA">
        <w:t>Illinois Student Senate Environmental Sustainability Subcommittee</w:t>
      </w:r>
      <w:r w:rsidR="005D4FCA">
        <w:t>, and the award was facilitated by Facilities &amp; Services.</w:t>
      </w:r>
    </w:p>
    <w:p w:rsidR="005D4FCA" w:rsidRDefault="005D4FCA" w:rsidP="005D4FCA"/>
    <w:p w:rsidR="005D4FCA" w:rsidRDefault="005D4FCA" w:rsidP="005D4FCA">
      <w:r>
        <w:t>As stated in the project proposal, this project was aimed at “</w:t>
      </w:r>
      <w:r>
        <w:t xml:space="preserve">encouraging the student body to wean off of disposable water bottles and promoting reusable water bottles, with the greater goal of curbing litter and wasteful discarding of recyclable bottling materials. Through primary surveying, we have all heard many students state that they would be in favor of more trouble-free water bottle filling stations. Our first goal in this process is to encourage the use of reusable water bottles or thermoses, </w:t>
      </w:r>
      <w:proofErr w:type="gramStart"/>
      <w:r>
        <w:t>et.al.,</w:t>
      </w:r>
      <w:proofErr w:type="gramEnd"/>
      <w:r>
        <w:t xml:space="preserve"> thereby relieving the dependency on disposable bottled water sold on shelves and in vending machines across campus. With this in mind, we propose to retrofit campus water fountains with water filling stations, in the form of glass filler attachments by which users can easily fill reusable water containers. Through our primary surveying as a committee, we have heard much in the way of student support for a greater number of water bottle filling stations in main buildings on campus. Reaching the primary goal of providing students with an easier alternative to purchasing bottled water will represent the first step in our effort to address the educational, financial, and ethical issues that concern the disconcerting use and waste of disposable water bottles on campus.</w:t>
      </w:r>
      <w:r>
        <w:t>”</w:t>
      </w:r>
    </w:p>
    <w:p w:rsidR="00B30041" w:rsidRDefault="00B30041" w:rsidP="00B30041"/>
    <w:p w:rsidR="00B30041" w:rsidRPr="00B30041" w:rsidRDefault="00B30041" w:rsidP="00B30041">
      <w:pPr>
        <w:rPr>
          <w:b/>
          <w:u w:val="single"/>
        </w:rPr>
      </w:pPr>
      <w:r w:rsidRPr="00B30041">
        <w:rPr>
          <w:b/>
          <w:u w:val="single"/>
        </w:rPr>
        <w:t>Project summary</w:t>
      </w:r>
    </w:p>
    <w:p w:rsidR="006633B9" w:rsidRDefault="005D4FCA" w:rsidP="006633B9">
      <w:r>
        <w:t xml:space="preserve">This project was awarded in the spring of 2013, and the award letter was received in June 2013.  The primary project contact was originally Felicia </w:t>
      </w:r>
      <w:proofErr w:type="spellStart"/>
      <w:r>
        <w:t>Speranske</w:t>
      </w:r>
      <w:proofErr w:type="spellEnd"/>
      <w:r>
        <w:t xml:space="preserve"> for the proposal and the spring 2013 semester.  After her graduation in May 2013, the primary contact for the project became Amy Liu.  </w:t>
      </w:r>
    </w:p>
    <w:p w:rsidR="006633B9" w:rsidRDefault="006633B9" w:rsidP="006633B9"/>
    <w:p w:rsidR="004B4349" w:rsidRDefault="005D4FCA" w:rsidP="00B30041">
      <w:r>
        <w:t xml:space="preserve">In </w:t>
      </w:r>
      <w:proofErr w:type="gramStart"/>
      <w:r w:rsidR="006633B9">
        <w:t>Fall</w:t>
      </w:r>
      <w:proofErr w:type="gramEnd"/>
      <w:r w:rsidR="006633B9">
        <w:t xml:space="preserve"> 2013, Amy Liu and David Mischiu prioritized buildings for the glass filler retrofits.  Morgan Johnston submitted work orders, and Mark Warner managed the project installation.</w:t>
      </w:r>
    </w:p>
    <w:p w:rsidR="006633B9" w:rsidRDefault="006633B9" w:rsidP="00B30041"/>
    <w:p w:rsidR="009402E7" w:rsidRDefault="006633B9" w:rsidP="00B30041">
      <w:pPr>
        <w:rPr>
          <w:b/>
          <w:u w:val="single"/>
        </w:rPr>
      </w:pPr>
      <w:r>
        <w:t xml:space="preserve">Also during </w:t>
      </w:r>
      <w:proofErr w:type="gramStart"/>
      <w:r>
        <w:t>Fall</w:t>
      </w:r>
      <w:proofErr w:type="gramEnd"/>
      <w:r>
        <w:t xml:space="preserve"> 2013, Amy Liu coordinated the Tap That marketing campaign, to encourage reusable water bottles.</w:t>
      </w:r>
    </w:p>
    <w:p w:rsidR="009402E7" w:rsidRDefault="009402E7" w:rsidP="00B30041">
      <w:pPr>
        <w:rPr>
          <w:b/>
          <w:u w:val="single"/>
        </w:rPr>
      </w:pPr>
    </w:p>
    <w:p w:rsidR="00B30041" w:rsidRPr="004B4349" w:rsidRDefault="00B30041" w:rsidP="00B30041">
      <w:pPr>
        <w:rPr>
          <w:b/>
          <w:u w:val="single"/>
        </w:rPr>
      </w:pPr>
      <w:r w:rsidRPr="004B4349">
        <w:rPr>
          <w:b/>
          <w:u w:val="single"/>
        </w:rPr>
        <w:t>Problems encountered</w:t>
      </w:r>
    </w:p>
    <w:p w:rsidR="00CC791D" w:rsidRDefault="00CC791D" w:rsidP="00CC791D"/>
    <w:p w:rsidR="004B4349" w:rsidRDefault="005D4FCA" w:rsidP="00B30041">
      <w:r>
        <w:t>None</w:t>
      </w:r>
    </w:p>
    <w:p w:rsidR="005D4FCA" w:rsidRDefault="005D4FCA" w:rsidP="00B30041"/>
    <w:p w:rsidR="00B30041" w:rsidRDefault="00B30041" w:rsidP="00B30041">
      <w:pPr>
        <w:rPr>
          <w:b/>
          <w:u w:val="single"/>
        </w:rPr>
      </w:pPr>
      <w:r w:rsidRPr="004B4349">
        <w:rPr>
          <w:b/>
          <w:u w:val="single"/>
        </w:rPr>
        <w:t>Pictures of finished project</w:t>
      </w:r>
    </w:p>
    <w:p w:rsidR="00AE231E" w:rsidRDefault="00DA29D9" w:rsidP="00B30041">
      <w:pPr>
        <w:rPr>
          <w:noProof/>
        </w:rPr>
      </w:pPr>
      <w:r>
        <w:rPr>
          <w:noProof/>
        </w:rPr>
        <w:t xml:space="preserve"> </w:t>
      </w:r>
      <w:r w:rsidR="006633B9">
        <w:rPr>
          <w:noProof/>
        </w:rPr>
        <w:drawing>
          <wp:inline distT="0" distB="0" distL="0" distR="0" wp14:anchorId="4DA60CF3" wp14:editId="4EB4CBC9">
            <wp:extent cx="2783394" cy="208754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781044" cy="2085783"/>
                    </a:xfrm>
                    <a:prstGeom prst="rect">
                      <a:avLst/>
                    </a:prstGeom>
                  </pic:spPr>
                </pic:pic>
              </a:graphicData>
            </a:graphic>
          </wp:inline>
        </w:drawing>
      </w:r>
      <w:r>
        <w:rPr>
          <w:noProof/>
        </w:rPr>
        <w:t xml:space="preserve">    </w:t>
      </w:r>
      <w:r w:rsidR="006633B9">
        <w:rPr>
          <w:noProof/>
        </w:rPr>
        <w:drawing>
          <wp:inline distT="0" distB="0" distL="0" distR="0" wp14:anchorId="576D3485" wp14:editId="6337D2ED">
            <wp:extent cx="2803490" cy="21026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807321" cy="2105491"/>
                    </a:xfrm>
                    <a:prstGeom prst="rect">
                      <a:avLst/>
                    </a:prstGeom>
                  </pic:spPr>
                </pic:pic>
              </a:graphicData>
            </a:graphic>
          </wp:inline>
        </w:drawing>
      </w:r>
    </w:p>
    <w:p w:rsidR="00DA29D9" w:rsidRDefault="00DA29D9" w:rsidP="00B30041">
      <w:pPr>
        <w:rPr>
          <w:noProof/>
        </w:rPr>
      </w:pPr>
    </w:p>
    <w:p w:rsidR="00DA29D9" w:rsidRDefault="00DA29D9" w:rsidP="00B30041">
      <w:pPr>
        <w:rPr>
          <w:b/>
          <w:u w:val="single"/>
        </w:rPr>
      </w:pPr>
      <w:r>
        <w:rPr>
          <w:noProof/>
        </w:rPr>
        <w:drawing>
          <wp:inline distT="0" distB="0" distL="0" distR="0" wp14:anchorId="2E9C9BF7" wp14:editId="49181C3C">
            <wp:extent cx="1858945" cy="1847327"/>
            <wp:effectExtent l="0" t="0" r="825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61647" cy="1850012"/>
                    </a:xfrm>
                    <a:prstGeom prst="rect">
                      <a:avLst/>
                    </a:prstGeom>
                  </pic:spPr>
                </pic:pic>
              </a:graphicData>
            </a:graphic>
          </wp:inline>
        </w:drawing>
      </w:r>
      <w:r>
        <w:rPr>
          <w:b/>
          <w:u w:val="single"/>
        </w:rPr>
        <w:t xml:space="preserve">    </w:t>
      </w:r>
      <w:r>
        <w:rPr>
          <w:noProof/>
        </w:rPr>
        <w:drawing>
          <wp:inline distT="0" distB="0" distL="0" distR="0" wp14:anchorId="6D480973" wp14:editId="239740C8">
            <wp:extent cx="3389643" cy="2542233"/>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86781" cy="2540086"/>
                    </a:xfrm>
                    <a:prstGeom prst="rect">
                      <a:avLst/>
                    </a:prstGeom>
                  </pic:spPr>
                </pic:pic>
              </a:graphicData>
            </a:graphic>
          </wp:inline>
        </w:drawing>
      </w:r>
    </w:p>
    <w:p w:rsidR="00FC3781" w:rsidRDefault="00FC3781" w:rsidP="00B30041"/>
    <w:p w:rsidR="00B30041" w:rsidRPr="00FC3781" w:rsidRDefault="00B30041" w:rsidP="00B30041">
      <w:pPr>
        <w:rPr>
          <w:b/>
          <w:u w:val="single"/>
        </w:rPr>
      </w:pPr>
      <w:r w:rsidRPr="00FC3781">
        <w:rPr>
          <w:b/>
          <w:u w:val="single"/>
        </w:rPr>
        <w:t>A financial statement that lists how the funds were specifically utilized</w:t>
      </w:r>
    </w:p>
    <w:p w:rsidR="00FC3781" w:rsidRDefault="00FC3781" w:rsidP="00B30041"/>
    <w:tbl>
      <w:tblPr>
        <w:tblW w:w="5595" w:type="dxa"/>
        <w:jc w:val="center"/>
        <w:tblInd w:w="93" w:type="dxa"/>
        <w:tblLook w:val="04A0" w:firstRow="1" w:lastRow="0" w:firstColumn="1" w:lastColumn="0" w:noHBand="0" w:noVBand="1"/>
      </w:tblPr>
      <w:tblGrid>
        <w:gridCol w:w="1180"/>
        <w:gridCol w:w="2800"/>
        <w:gridCol w:w="1615"/>
      </w:tblGrid>
      <w:tr w:rsidR="006633B9" w:rsidRPr="006633B9" w:rsidTr="00DA29D9">
        <w:trPr>
          <w:trHeight w:val="345"/>
          <w:jc w:val="center"/>
        </w:trPr>
        <w:tc>
          <w:tcPr>
            <w:tcW w:w="1180" w:type="dxa"/>
            <w:tcBorders>
              <w:top w:val="single" w:sz="4" w:space="0" w:color="auto"/>
              <w:left w:val="single" w:sz="4" w:space="0" w:color="auto"/>
              <w:bottom w:val="single" w:sz="4" w:space="0" w:color="auto"/>
              <w:right w:val="single" w:sz="4" w:space="0" w:color="auto"/>
            </w:tcBorders>
            <w:shd w:val="clear" w:color="000000" w:fill="D9D9D9"/>
            <w:noWrap/>
            <w:hideMark/>
          </w:tcPr>
          <w:p w:rsidR="006633B9" w:rsidRPr="006633B9" w:rsidRDefault="006633B9" w:rsidP="006633B9">
            <w:pPr>
              <w:rPr>
                <w:rFonts w:ascii="Calibri" w:eastAsia="Times New Roman" w:hAnsi="Calibri" w:cs="Calibri"/>
                <w:b/>
                <w:bCs/>
                <w:color w:val="000000"/>
                <w:sz w:val="22"/>
                <w:szCs w:val="22"/>
              </w:rPr>
            </w:pPr>
            <w:r w:rsidRPr="006633B9">
              <w:rPr>
                <w:rFonts w:ascii="Calibri" w:eastAsia="Times New Roman" w:hAnsi="Calibri" w:cs="Calibri"/>
                <w:b/>
                <w:bCs/>
                <w:color w:val="000000"/>
                <w:sz w:val="22"/>
                <w:szCs w:val="22"/>
              </w:rPr>
              <w:t>Work Order</w:t>
            </w:r>
          </w:p>
        </w:tc>
        <w:tc>
          <w:tcPr>
            <w:tcW w:w="2800" w:type="dxa"/>
            <w:tcBorders>
              <w:top w:val="single" w:sz="4" w:space="0" w:color="auto"/>
              <w:left w:val="nil"/>
              <w:bottom w:val="single" w:sz="4" w:space="0" w:color="auto"/>
              <w:right w:val="single" w:sz="4" w:space="0" w:color="auto"/>
            </w:tcBorders>
            <w:shd w:val="clear" w:color="000000" w:fill="D9D9D9"/>
            <w:noWrap/>
            <w:hideMark/>
          </w:tcPr>
          <w:p w:rsidR="006633B9" w:rsidRPr="006633B9" w:rsidRDefault="006633B9" w:rsidP="006633B9">
            <w:pPr>
              <w:rPr>
                <w:rFonts w:ascii="Calibri" w:eastAsia="Times New Roman" w:hAnsi="Calibri" w:cs="Calibri"/>
                <w:b/>
                <w:bCs/>
                <w:color w:val="000000"/>
                <w:sz w:val="22"/>
                <w:szCs w:val="22"/>
              </w:rPr>
            </w:pPr>
            <w:r w:rsidRPr="006633B9">
              <w:rPr>
                <w:rFonts w:ascii="Calibri" w:eastAsia="Times New Roman" w:hAnsi="Calibri" w:cs="Calibri"/>
                <w:b/>
                <w:bCs/>
                <w:color w:val="000000"/>
                <w:sz w:val="22"/>
                <w:szCs w:val="22"/>
              </w:rPr>
              <w:t>Building</w:t>
            </w:r>
          </w:p>
        </w:tc>
        <w:tc>
          <w:tcPr>
            <w:tcW w:w="1615" w:type="dxa"/>
            <w:tcBorders>
              <w:top w:val="single" w:sz="4" w:space="0" w:color="auto"/>
              <w:left w:val="nil"/>
              <w:bottom w:val="single" w:sz="4" w:space="0" w:color="auto"/>
              <w:right w:val="single" w:sz="4" w:space="0" w:color="auto"/>
            </w:tcBorders>
            <w:shd w:val="clear" w:color="000000" w:fill="D9D9D9"/>
            <w:noWrap/>
            <w:hideMark/>
          </w:tcPr>
          <w:p w:rsidR="006633B9" w:rsidRPr="006633B9" w:rsidRDefault="006633B9" w:rsidP="006633B9">
            <w:pPr>
              <w:rPr>
                <w:rFonts w:ascii="Calibri" w:eastAsia="Times New Roman" w:hAnsi="Calibri" w:cs="Calibri"/>
                <w:b/>
                <w:bCs/>
                <w:color w:val="000000"/>
                <w:sz w:val="22"/>
                <w:szCs w:val="22"/>
              </w:rPr>
            </w:pPr>
            <w:r w:rsidRPr="006633B9">
              <w:rPr>
                <w:rFonts w:ascii="Calibri" w:eastAsia="Times New Roman" w:hAnsi="Calibri" w:cs="Calibri"/>
                <w:b/>
                <w:bCs/>
                <w:color w:val="000000"/>
                <w:sz w:val="22"/>
                <w:szCs w:val="22"/>
              </w:rPr>
              <w:t xml:space="preserve"> Amount </w:t>
            </w:r>
          </w:p>
        </w:tc>
      </w:tr>
      <w:tr w:rsidR="006633B9" w:rsidRPr="006633B9" w:rsidTr="00DA29D9">
        <w:trPr>
          <w:trHeight w:val="345"/>
          <w:jc w:val="center"/>
        </w:trPr>
        <w:tc>
          <w:tcPr>
            <w:tcW w:w="1180" w:type="dxa"/>
            <w:tcBorders>
              <w:top w:val="nil"/>
              <w:left w:val="single" w:sz="4" w:space="0" w:color="auto"/>
              <w:bottom w:val="single" w:sz="4" w:space="0" w:color="auto"/>
              <w:right w:val="single" w:sz="4" w:space="0" w:color="auto"/>
            </w:tcBorders>
            <w:shd w:val="clear" w:color="auto" w:fill="auto"/>
            <w:noWrap/>
            <w:hideMark/>
          </w:tcPr>
          <w:p w:rsidR="006633B9" w:rsidRPr="006633B9" w:rsidRDefault="006633B9" w:rsidP="006633B9">
            <w:pPr>
              <w:rPr>
                <w:rFonts w:ascii="Calibri" w:eastAsia="Times New Roman" w:hAnsi="Calibri" w:cs="Calibri"/>
                <w:color w:val="000000"/>
                <w:sz w:val="22"/>
                <w:szCs w:val="22"/>
              </w:rPr>
            </w:pPr>
            <w:r w:rsidRPr="006633B9">
              <w:rPr>
                <w:rFonts w:ascii="Calibri" w:eastAsia="Times New Roman" w:hAnsi="Calibri" w:cs="Calibri"/>
                <w:color w:val="000000"/>
                <w:sz w:val="22"/>
                <w:szCs w:val="22"/>
              </w:rPr>
              <w:t>10236880</w:t>
            </w:r>
          </w:p>
        </w:tc>
        <w:tc>
          <w:tcPr>
            <w:tcW w:w="2800" w:type="dxa"/>
            <w:tcBorders>
              <w:top w:val="nil"/>
              <w:left w:val="nil"/>
              <w:bottom w:val="single" w:sz="4" w:space="0" w:color="auto"/>
              <w:right w:val="single" w:sz="4" w:space="0" w:color="auto"/>
            </w:tcBorders>
            <w:shd w:val="clear" w:color="auto" w:fill="auto"/>
            <w:noWrap/>
            <w:hideMark/>
          </w:tcPr>
          <w:p w:rsidR="006633B9" w:rsidRPr="006633B9" w:rsidRDefault="006633B9" w:rsidP="006633B9">
            <w:pPr>
              <w:rPr>
                <w:rFonts w:ascii="Calibri" w:eastAsia="Times New Roman" w:hAnsi="Calibri" w:cs="Calibri"/>
                <w:color w:val="000000"/>
                <w:sz w:val="22"/>
                <w:szCs w:val="22"/>
              </w:rPr>
            </w:pPr>
            <w:r w:rsidRPr="006633B9">
              <w:rPr>
                <w:rFonts w:ascii="Calibri" w:eastAsia="Times New Roman" w:hAnsi="Calibri" w:cs="Calibri"/>
                <w:color w:val="000000"/>
                <w:sz w:val="22"/>
                <w:szCs w:val="22"/>
              </w:rPr>
              <w:t>ACES Library</w:t>
            </w:r>
          </w:p>
        </w:tc>
        <w:tc>
          <w:tcPr>
            <w:tcW w:w="1615" w:type="dxa"/>
            <w:tcBorders>
              <w:top w:val="nil"/>
              <w:left w:val="nil"/>
              <w:bottom w:val="single" w:sz="4" w:space="0" w:color="auto"/>
              <w:right w:val="single" w:sz="4" w:space="0" w:color="auto"/>
            </w:tcBorders>
            <w:shd w:val="clear" w:color="auto" w:fill="auto"/>
            <w:noWrap/>
            <w:hideMark/>
          </w:tcPr>
          <w:p w:rsidR="006633B9" w:rsidRPr="006633B9" w:rsidRDefault="006633B9" w:rsidP="006633B9">
            <w:pPr>
              <w:rPr>
                <w:rFonts w:ascii="Calibri" w:eastAsia="Times New Roman" w:hAnsi="Calibri" w:cs="Calibri"/>
                <w:color w:val="000000"/>
                <w:sz w:val="22"/>
                <w:szCs w:val="22"/>
              </w:rPr>
            </w:pPr>
            <w:r w:rsidRPr="006633B9">
              <w:rPr>
                <w:rFonts w:ascii="Calibri" w:eastAsia="Times New Roman" w:hAnsi="Calibri" w:cs="Calibri"/>
                <w:color w:val="000000"/>
                <w:sz w:val="22"/>
                <w:szCs w:val="22"/>
              </w:rPr>
              <w:t xml:space="preserve"> $        1,879.24 </w:t>
            </w:r>
          </w:p>
        </w:tc>
      </w:tr>
      <w:tr w:rsidR="006633B9" w:rsidRPr="006633B9" w:rsidTr="00DA29D9">
        <w:trPr>
          <w:trHeight w:val="345"/>
          <w:jc w:val="center"/>
        </w:trPr>
        <w:tc>
          <w:tcPr>
            <w:tcW w:w="1180" w:type="dxa"/>
            <w:tcBorders>
              <w:top w:val="nil"/>
              <w:left w:val="single" w:sz="4" w:space="0" w:color="auto"/>
              <w:bottom w:val="single" w:sz="4" w:space="0" w:color="auto"/>
              <w:right w:val="single" w:sz="4" w:space="0" w:color="auto"/>
            </w:tcBorders>
            <w:shd w:val="clear" w:color="auto" w:fill="auto"/>
            <w:noWrap/>
            <w:hideMark/>
          </w:tcPr>
          <w:p w:rsidR="006633B9" w:rsidRPr="006633B9" w:rsidRDefault="006633B9" w:rsidP="006633B9">
            <w:pPr>
              <w:rPr>
                <w:rFonts w:ascii="Calibri" w:eastAsia="Times New Roman" w:hAnsi="Calibri" w:cs="Calibri"/>
                <w:color w:val="000000"/>
                <w:sz w:val="22"/>
                <w:szCs w:val="22"/>
              </w:rPr>
            </w:pPr>
            <w:r w:rsidRPr="006633B9">
              <w:rPr>
                <w:rFonts w:ascii="Calibri" w:eastAsia="Times New Roman" w:hAnsi="Calibri" w:cs="Calibri"/>
                <w:color w:val="000000"/>
                <w:sz w:val="22"/>
                <w:szCs w:val="22"/>
              </w:rPr>
              <w:t>10236879</w:t>
            </w:r>
          </w:p>
        </w:tc>
        <w:tc>
          <w:tcPr>
            <w:tcW w:w="2800" w:type="dxa"/>
            <w:tcBorders>
              <w:top w:val="nil"/>
              <w:left w:val="nil"/>
              <w:bottom w:val="single" w:sz="4" w:space="0" w:color="auto"/>
              <w:right w:val="single" w:sz="4" w:space="0" w:color="auto"/>
            </w:tcBorders>
            <w:shd w:val="clear" w:color="auto" w:fill="auto"/>
            <w:noWrap/>
            <w:hideMark/>
          </w:tcPr>
          <w:p w:rsidR="006633B9" w:rsidRPr="006633B9" w:rsidRDefault="006633B9" w:rsidP="006633B9">
            <w:pPr>
              <w:rPr>
                <w:rFonts w:ascii="Calibri" w:eastAsia="Times New Roman" w:hAnsi="Calibri" w:cs="Calibri"/>
                <w:color w:val="000000"/>
                <w:sz w:val="22"/>
                <w:szCs w:val="22"/>
              </w:rPr>
            </w:pPr>
            <w:r w:rsidRPr="006633B9">
              <w:rPr>
                <w:rFonts w:ascii="Calibri" w:eastAsia="Times New Roman" w:hAnsi="Calibri" w:cs="Calibri"/>
                <w:color w:val="000000"/>
                <w:sz w:val="22"/>
                <w:szCs w:val="22"/>
              </w:rPr>
              <w:t>Main Library</w:t>
            </w:r>
          </w:p>
        </w:tc>
        <w:tc>
          <w:tcPr>
            <w:tcW w:w="1615" w:type="dxa"/>
            <w:tcBorders>
              <w:top w:val="nil"/>
              <w:left w:val="nil"/>
              <w:bottom w:val="single" w:sz="4" w:space="0" w:color="auto"/>
              <w:right w:val="single" w:sz="4" w:space="0" w:color="auto"/>
            </w:tcBorders>
            <w:shd w:val="clear" w:color="auto" w:fill="auto"/>
            <w:noWrap/>
            <w:hideMark/>
          </w:tcPr>
          <w:p w:rsidR="006633B9" w:rsidRPr="006633B9" w:rsidRDefault="006633B9" w:rsidP="006633B9">
            <w:pPr>
              <w:rPr>
                <w:rFonts w:ascii="Calibri" w:eastAsia="Times New Roman" w:hAnsi="Calibri" w:cs="Calibri"/>
                <w:color w:val="000000"/>
                <w:sz w:val="22"/>
                <w:szCs w:val="22"/>
              </w:rPr>
            </w:pPr>
            <w:r w:rsidRPr="006633B9">
              <w:rPr>
                <w:rFonts w:ascii="Calibri" w:eastAsia="Times New Roman" w:hAnsi="Calibri" w:cs="Calibri"/>
                <w:color w:val="000000"/>
                <w:sz w:val="22"/>
                <w:szCs w:val="22"/>
              </w:rPr>
              <w:t xml:space="preserve"> $        1,831.14 </w:t>
            </w:r>
          </w:p>
        </w:tc>
      </w:tr>
      <w:tr w:rsidR="006633B9" w:rsidRPr="006633B9" w:rsidTr="00DA29D9">
        <w:trPr>
          <w:trHeight w:val="345"/>
          <w:jc w:val="center"/>
        </w:trPr>
        <w:tc>
          <w:tcPr>
            <w:tcW w:w="1180" w:type="dxa"/>
            <w:tcBorders>
              <w:top w:val="nil"/>
              <w:left w:val="single" w:sz="4" w:space="0" w:color="auto"/>
              <w:bottom w:val="single" w:sz="4" w:space="0" w:color="auto"/>
              <w:right w:val="single" w:sz="4" w:space="0" w:color="auto"/>
            </w:tcBorders>
            <w:shd w:val="clear" w:color="auto" w:fill="auto"/>
            <w:noWrap/>
            <w:hideMark/>
          </w:tcPr>
          <w:p w:rsidR="006633B9" w:rsidRPr="006633B9" w:rsidRDefault="006633B9" w:rsidP="006633B9">
            <w:pPr>
              <w:rPr>
                <w:rFonts w:ascii="Calibri" w:eastAsia="Times New Roman" w:hAnsi="Calibri" w:cs="Calibri"/>
                <w:color w:val="000000"/>
                <w:sz w:val="22"/>
                <w:szCs w:val="22"/>
              </w:rPr>
            </w:pPr>
            <w:r w:rsidRPr="006633B9">
              <w:rPr>
                <w:rFonts w:ascii="Calibri" w:eastAsia="Times New Roman" w:hAnsi="Calibri" w:cs="Calibri"/>
                <w:color w:val="000000"/>
                <w:sz w:val="22"/>
                <w:szCs w:val="22"/>
              </w:rPr>
              <w:t>10232178</w:t>
            </w:r>
          </w:p>
        </w:tc>
        <w:tc>
          <w:tcPr>
            <w:tcW w:w="2800" w:type="dxa"/>
            <w:tcBorders>
              <w:top w:val="nil"/>
              <w:left w:val="nil"/>
              <w:bottom w:val="single" w:sz="4" w:space="0" w:color="auto"/>
              <w:right w:val="single" w:sz="4" w:space="0" w:color="auto"/>
            </w:tcBorders>
            <w:shd w:val="clear" w:color="auto" w:fill="auto"/>
            <w:noWrap/>
            <w:hideMark/>
          </w:tcPr>
          <w:p w:rsidR="006633B9" w:rsidRPr="006633B9" w:rsidRDefault="006633B9" w:rsidP="006633B9">
            <w:pPr>
              <w:rPr>
                <w:rFonts w:ascii="Calibri" w:eastAsia="Times New Roman" w:hAnsi="Calibri" w:cs="Calibri"/>
                <w:color w:val="000000"/>
                <w:sz w:val="22"/>
                <w:szCs w:val="22"/>
              </w:rPr>
            </w:pPr>
            <w:r w:rsidRPr="006633B9">
              <w:rPr>
                <w:rFonts w:ascii="Calibri" w:eastAsia="Times New Roman" w:hAnsi="Calibri" w:cs="Calibri"/>
                <w:color w:val="000000"/>
                <w:sz w:val="22"/>
                <w:szCs w:val="22"/>
              </w:rPr>
              <w:t>Grainger Library</w:t>
            </w:r>
          </w:p>
        </w:tc>
        <w:tc>
          <w:tcPr>
            <w:tcW w:w="1615" w:type="dxa"/>
            <w:tcBorders>
              <w:top w:val="nil"/>
              <w:left w:val="nil"/>
              <w:bottom w:val="single" w:sz="4" w:space="0" w:color="auto"/>
              <w:right w:val="single" w:sz="4" w:space="0" w:color="auto"/>
            </w:tcBorders>
            <w:shd w:val="clear" w:color="auto" w:fill="auto"/>
            <w:noWrap/>
            <w:hideMark/>
          </w:tcPr>
          <w:p w:rsidR="006633B9" w:rsidRPr="006633B9" w:rsidRDefault="006633B9" w:rsidP="006633B9">
            <w:pPr>
              <w:rPr>
                <w:rFonts w:ascii="Calibri" w:eastAsia="Times New Roman" w:hAnsi="Calibri" w:cs="Calibri"/>
                <w:color w:val="000000"/>
                <w:sz w:val="22"/>
                <w:szCs w:val="22"/>
              </w:rPr>
            </w:pPr>
            <w:r w:rsidRPr="006633B9">
              <w:rPr>
                <w:rFonts w:ascii="Calibri" w:eastAsia="Times New Roman" w:hAnsi="Calibri" w:cs="Calibri"/>
                <w:color w:val="000000"/>
                <w:sz w:val="22"/>
                <w:szCs w:val="22"/>
              </w:rPr>
              <w:t xml:space="preserve"> $        1,900.06 </w:t>
            </w:r>
          </w:p>
        </w:tc>
      </w:tr>
      <w:tr w:rsidR="006633B9" w:rsidRPr="006633B9" w:rsidTr="00DA29D9">
        <w:trPr>
          <w:trHeight w:val="345"/>
          <w:jc w:val="center"/>
        </w:trPr>
        <w:tc>
          <w:tcPr>
            <w:tcW w:w="1180" w:type="dxa"/>
            <w:tcBorders>
              <w:top w:val="nil"/>
              <w:left w:val="single" w:sz="4" w:space="0" w:color="auto"/>
              <w:bottom w:val="single" w:sz="4" w:space="0" w:color="auto"/>
              <w:right w:val="single" w:sz="4" w:space="0" w:color="auto"/>
            </w:tcBorders>
            <w:shd w:val="clear" w:color="auto" w:fill="auto"/>
            <w:noWrap/>
            <w:hideMark/>
          </w:tcPr>
          <w:p w:rsidR="006633B9" w:rsidRPr="006633B9" w:rsidRDefault="006633B9" w:rsidP="006633B9">
            <w:pPr>
              <w:rPr>
                <w:rFonts w:ascii="Calibri" w:eastAsia="Times New Roman" w:hAnsi="Calibri" w:cs="Calibri"/>
                <w:color w:val="000000"/>
                <w:sz w:val="22"/>
                <w:szCs w:val="22"/>
              </w:rPr>
            </w:pPr>
            <w:r w:rsidRPr="006633B9">
              <w:rPr>
                <w:rFonts w:ascii="Calibri" w:eastAsia="Times New Roman" w:hAnsi="Calibri" w:cs="Calibri"/>
                <w:color w:val="000000"/>
                <w:sz w:val="22"/>
                <w:szCs w:val="22"/>
              </w:rPr>
              <w:t>10232177</w:t>
            </w:r>
          </w:p>
        </w:tc>
        <w:tc>
          <w:tcPr>
            <w:tcW w:w="2800" w:type="dxa"/>
            <w:tcBorders>
              <w:top w:val="nil"/>
              <w:left w:val="nil"/>
              <w:bottom w:val="single" w:sz="4" w:space="0" w:color="auto"/>
              <w:right w:val="single" w:sz="4" w:space="0" w:color="auto"/>
            </w:tcBorders>
            <w:shd w:val="clear" w:color="auto" w:fill="auto"/>
            <w:noWrap/>
            <w:hideMark/>
          </w:tcPr>
          <w:p w:rsidR="006633B9" w:rsidRPr="006633B9" w:rsidRDefault="006633B9" w:rsidP="006633B9">
            <w:pPr>
              <w:rPr>
                <w:rFonts w:ascii="Calibri" w:eastAsia="Times New Roman" w:hAnsi="Calibri" w:cs="Calibri"/>
                <w:color w:val="000000"/>
                <w:sz w:val="22"/>
                <w:szCs w:val="22"/>
              </w:rPr>
            </w:pPr>
            <w:r w:rsidRPr="006633B9">
              <w:rPr>
                <w:rFonts w:ascii="Calibri" w:eastAsia="Times New Roman" w:hAnsi="Calibri" w:cs="Calibri"/>
                <w:color w:val="000000"/>
                <w:sz w:val="22"/>
                <w:szCs w:val="22"/>
              </w:rPr>
              <w:t>Natural Resources Building</w:t>
            </w:r>
          </w:p>
        </w:tc>
        <w:tc>
          <w:tcPr>
            <w:tcW w:w="1615" w:type="dxa"/>
            <w:tcBorders>
              <w:top w:val="nil"/>
              <w:left w:val="nil"/>
              <w:bottom w:val="single" w:sz="4" w:space="0" w:color="auto"/>
              <w:right w:val="single" w:sz="4" w:space="0" w:color="auto"/>
            </w:tcBorders>
            <w:shd w:val="clear" w:color="auto" w:fill="auto"/>
            <w:noWrap/>
            <w:hideMark/>
          </w:tcPr>
          <w:p w:rsidR="006633B9" w:rsidRPr="006633B9" w:rsidRDefault="006633B9" w:rsidP="006633B9">
            <w:pPr>
              <w:rPr>
                <w:rFonts w:ascii="Calibri" w:eastAsia="Times New Roman" w:hAnsi="Calibri" w:cs="Calibri"/>
                <w:color w:val="000000"/>
                <w:sz w:val="22"/>
                <w:szCs w:val="22"/>
              </w:rPr>
            </w:pPr>
            <w:r w:rsidRPr="006633B9">
              <w:rPr>
                <w:rFonts w:ascii="Calibri" w:eastAsia="Times New Roman" w:hAnsi="Calibri" w:cs="Calibri"/>
                <w:color w:val="000000"/>
                <w:sz w:val="22"/>
                <w:szCs w:val="22"/>
              </w:rPr>
              <w:t xml:space="preserve"> $        1,858.00 </w:t>
            </w:r>
          </w:p>
        </w:tc>
      </w:tr>
      <w:tr w:rsidR="006633B9" w:rsidRPr="006633B9" w:rsidTr="00DA29D9">
        <w:trPr>
          <w:trHeight w:val="345"/>
          <w:jc w:val="center"/>
        </w:trPr>
        <w:tc>
          <w:tcPr>
            <w:tcW w:w="1180" w:type="dxa"/>
            <w:tcBorders>
              <w:top w:val="nil"/>
              <w:left w:val="single" w:sz="4" w:space="0" w:color="auto"/>
              <w:bottom w:val="single" w:sz="4" w:space="0" w:color="auto"/>
              <w:right w:val="single" w:sz="4" w:space="0" w:color="auto"/>
            </w:tcBorders>
            <w:shd w:val="clear" w:color="auto" w:fill="auto"/>
            <w:noWrap/>
            <w:hideMark/>
          </w:tcPr>
          <w:p w:rsidR="006633B9" w:rsidRPr="006633B9" w:rsidRDefault="006633B9" w:rsidP="006633B9">
            <w:pPr>
              <w:rPr>
                <w:rFonts w:ascii="Calibri" w:eastAsia="Times New Roman" w:hAnsi="Calibri" w:cs="Calibri"/>
                <w:color w:val="000000"/>
                <w:sz w:val="22"/>
                <w:szCs w:val="22"/>
              </w:rPr>
            </w:pPr>
            <w:r w:rsidRPr="006633B9">
              <w:rPr>
                <w:rFonts w:ascii="Calibri" w:eastAsia="Times New Roman" w:hAnsi="Calibri" w:cs="Calibri"/>
                <w:color w:val="000000"/>
                <w:sz w:val="22"/>
                <w:szCs w:val="22"/>
              </w:rPr>
              <w:t>10232176</w:t>
            </w:r>
          </w:p>
        </w:tc>
        <w:tc>
          <w:tcPr>
            <w:tcW w:w="2800" w:type="dxa"/>
            <w:tcBorders>
              <w:top w:val="nil"/>
              <w:left w:val="nil"/>
              <w:bottom w:val="single" w:sz="4" w:space="0" w:color="auto"/>
              <w:right w:val="single" w:sz="4" w:space="0" w:color="auto"/>
            </w:tcBorders>
            <w:shd w:val="clear" w:color="auto" w:fill="auto"/>
            <w:noWrap/>
            <w:hideMark/>
          </w:tcPr>
          <w:p w:rsidR="006633B9" w:rsidRPr="006633B9" w:rsidRDefault="006633B9" w:rsidP="006633B9">
            <w:pPr>
              <w:rPr>
                <w:rFonts w:ascii="Calibri" w:eastAsia="Times New Roman" w:hAnsi="Calibri" w:cs="Calibri"/>
                <w:color w:val="000000"/>
                <w:sz w:val="22"/>
                <w:szCs w:val="22"/>
              </w:rPr>
            </w:pPr>
            <w:r w:rsidRPr="006633B9">
              <w:rPr>
                <w:rFonts w:ascii="Calibri" w:eastAsia="Times New Roman" w:hAnsi="Calibri" w:cs="Calibri"/>
                <w:color w:val="000000"/>
                <w:sz w:val="22"/>
                <w:szCs w:val="22"/>
              </w:rPr>
              <w:t>Siebel Center</w:t>
            </w:r>
          </w:p>
        </w:tc>
        <w:tc>
          <w:tcPr>
            <w:tcW w:w="1615" w:type="dxa"/>
            <w:tcBorders>
              <w:top w:val="nil"/>
              <w:left w:val="nil"/>
              <w:bottom w:val="single" w:sz="4" w:space="0" w:color="auto"/>
              <w:right w:val="single" w:sz="4" w:space="0" w:color="auto"/>
            </w:tcBorders>
            <w:shd w:val="clear" w:color="auto" w:fill="auto"/>
            <w:noWrap/>
            <w:hideMark/>
          </w:tcPr>
          <w:p w:rsidR="006633B9" w:rsidRPr="006633B9" w:rsidRDefault="006633B9" w:rsidP="006633B9">
            <w:pPr>
              <w:rPr>
                <w:rFonts w:ascii="Calibri" w:eastAsia="Times New Roman" w:hAnsi="Calibri" w:cs="Calibri"/>
                <w:color w:val="000000"/>
                <w:sz w:val="22"/>
                <w:szCs w:val="22"/>
              </w:rPr>
            </w:pPr>
            <w:r w:rsidRPr="006633B9">
              <w:rPr>
                <w:rFonts w:ascii="Calibri" w:eastAsia="Times New Roman" w:hAnsi="Calibri" w:cs="Calibri"/>
                <w:color w:val="000000"/>
                <w:sz w:val="22"/>
                <w:szCs w:val="22"/>
              </w:rPr>
              <w:t xml:space="preserve"> $        1,326.29 </w:t>
            </w:r>
          </w:p>
        </w:tc>
      </w:tr>
      <w:tr w:rsidR="006633B9" w:rsidRPr="006633B9" w:rsidTr="00DA29D9">
        <w:trPr>
          <w:trHeight w:val="345"/>
          <w:jc w:val="center"/>
        </w:trPr>
        <w:tc>
          <w:tcPr>
            <w:tcW w:w="1180" w:type="dxa"/>
            <w:tcBorders>
              <w:top w:val="nil"/>
              <w:left w:val="single" w:sz="4" w:space="0" w:color="auto"/>
              <w:bottom w:val="single" w:sz="4" w:space="0" w:color="auto"/>
              <w:right w:val="single" w:sz="4" w:space="0" w:color="auto"/>
            </w:tcBorders>
            <w:shd w:val="clear" w:color="auto" w:fill="auto"/>
            <w:noWrap/>
            <w:hideMark/>
          </w:tcPr>
          <w:p w:rsidR="006633B9" w:rsidRPr="006633B9" w:rsidRDefault="006633B9" w:rsidP="006633B9">
            <w:pPr>
              <w:rPr>
                <w:rFonts w:ascii="Calibri" w:eastAsia="Times New Roman" w:hAnsi="Calibri" w:cs="Calibri"/>
                <w:color w:val="000000"/>
                <w:sz w:val="22"/>
                <w:szCs w:val="22"/>
              </w:rPr>
            </w:pPr>
            <w:r w:rsidRPr="006633B9">
              <w:rPr>
                <w:rFonts w:ascii="Calibri" w:eastAsia="Times New Roman" w:hAnsi="Calibri" w:cs="Calibri"/>
                <w:color w:val="000000"/>
                <w:sz w:val="22"/>
                <w:szCs w:val="22"/>
              </w:rPr>
              <w:t>10232175</w:t>
            </w:r>
          </w:p>
        </w:tc>
        <w:tc>
          <w:tcPr>
            <w:tcW w:w="2800" w:type="dxa"/>
            <w:tcBorders>
              <w:top w:val="nil"/>
              <w:left w:val="nil"/>
              <w:bottom w:val="single" w:sz="4" w:space="0" w:color="auto"/>
              <w:right w:val="single" w:sz="4" w:space="0" w:color="auto"/>
            </w:tcBorders>
            <w:shd w:val="clear" w:color="auto" w:fill="auto"/>
            <w:noWrap/>
            <w:hideMark/>
          </w:tcPr>
          <w:p w:rsidR="006633B9" w:rsidRPr="006633B9" w:rsidRDefault="006633B9" w:rsidP="006633B9">
            <w:pPr>
              <w:rPr>
                <w:rFonts w:ascii="Calibri" w:eastAsia="Times New Roman" w:hAnsi="Calibri" w:cs="Calibri"/>
                <w:color w:val="000000"/>
                <w:sz w:val="22"/>
                <w:szCs w:val="22"/>
              </w:rPr>
            </w:pPr>
            <w:r w:rsidRPr="006633B9">
              <w:rPr>
                <w:rFonts w:ascii="Calibri" w:eastAsia="Times New Roman" w:hAnsi="Calibri" w:cs="Calibri"/>
                <w:color w:val="000000"/>
                <w:sz w:val="22"/>
                <w:szCs w:val="22"/>
              </w:rPr>
              <w:t>Loomis Lab</w:t>
            </w:r>
          </w:p>
        </w:tc>
        <w:tc>
          <w:tcPr>
            <w:tcW w:w="1615" w:type="dxa"/>
            <w:tcBorders>
              <w:top w:val="nil"/>
              <w:left w:val="nil"/>
              <w:bottom w:val="single" w:sz="4" w:space="0" w:color="auto"/>
              <w:right w:val="single" w:sz="4" w:space="0" w:color="auto"/>
            </w:tcBorders>
            <w:shd w:val="clear" w:color="auto" w:fill="auto"/>
            <w:noWrap/>
            <w:hideMark/>
          </w:tcPr>
          <w:p w:rsidR="006633B9" w:rsidRPr="006633B9" w:rsidRDefault="006633B9" w:rsidP="006633B9">
            <w:pPr>
              <w:rPr>
                <w:rFonts w:ascii="Calibri" w:eastAsia="Times New Roman" w:hAnsi="Calibri" w:cs="Calibri"/>
                <w:color w:val="000000"/>
                <w:sz w:val="22"/>
                <w:szCs w:val="22"/>
              </w:rPr>
            </w:pPr>
            <w:r w:rsidRPr="006633B9">
              <w:rPr>
                <w:rFonts w:ascii="Calibri" w:eastAsia="Times New Roman" w:hAnsi="Calibri" w:cs="Calibri"/>
                <w:color w:val="000000"/>
                <w:sz w:val="22"/>
                <w:szCs w:val="22"/>
              </w:rPr>
              <w:t xml:space="preserve"> $        2,110.10 </w:t>
            </w:r>
          </w:p>
        </w:tc>
      </w:tr>
      <w:tr w:rsidR="006633B9" w:rsidRPr="006633B9" w:rsidTr="00DA29D9">
        <w:trPr>
          <w:trHeight w:val="345"/>
          <w:jc w:val="center"/>
        </w:trPr>
        <w:tc>
          <w:tcPr>
            <w:tcW w:w="1180" w:type="dxa"/>
            <w:tcBorders>
              <w:top w:val="nil"/>
              <w:left w:val="single" w:sz="4" w:space="0" w:color="auto"/>
              <w:bottom w:val="single" w:sz="4" w:space="0" w:color="auto"/>
              <w:right w:val="single" w:sz="4" w:space="0" w:color="auto"/>
            </w:tcBorders>
            <w:shd w:val="clear" w:color="auto" w:fill="auto"/>
            <w:noWrap/>
            <w:hideMark/>
          </w:tcPr>
          <w:p w:rsidR="006633B9" w:rsidRPr="006633B9" w:rsidRDefault="006633B9" w:rsidP="006633B9">
            <w:pPr>
              <w:rPr>
                <w:rFonts w:ascii="Calibri" w:eastAsia="Times New Roman" w:hAnsi="Calibri" w:cs="Calibri"/>
                <w:color w:val="000000"/>
                <w:sz w:val="22"/>
                <w:szCs w:val="22"/>
              </w:rPr>
            </w:pPr>
            <w:r w:rsidRPr="006633B9">
              <w:rPr>
                <w:rFonts w:ascii="Calibri" w:eastAsia="Times New Roman" w:hAnsi="Calibri" w:cs="Calibri"/>
                <w:color w:val="000000"/>
                <w:sz w:val="22"/>
                <w:szCs w:val="22"/>
              </w:rPr>
              <w:t>10232174</w:t>
            </w:r>
          </w:p>
        </w:tc>
        <w:tc>
          <w:tcPr>
            <w:tcW w:w="2800" w:type="dxa"/>
            <w:tcBorders>
              <w:top w:val="nil"/>
              <w:left w:val="nil"/>
              <w:bottom w:val="single" w:sz="4" w:space="0" w:color="auto"/>
              <w:right w:val="single" w:sz="4" w:space="0" w:color="auto"/>
            </w:tcBorders>
            <w:shd w:val="clear" w:color="auto" w:fill="auto"/>
            <w:noWrap/>
            <w:hideMark/>
          </w:tcPr>
          <w:p w:rsidR="006633B9" w:rsidRPr="006633B9" w:rsidRDefault="006633B9" w:rsidP="006633B9">
            <w:pPr>
              <w:rPr>
                <w:rFonts w:ascii="Calibri" w:eastAsia="Times New Roman" w:hAnsi="Calibri" w:cs="Calibri"/>
                <w:color w:val="000000"/>
                <w:sz w:val="22"/>
                <w:szCs w:val="22"/>
              </w:rPr>
            </w:pPr>
            <w:r w:rsidRPr="006633B9">
              <w:rPr>
                <w:rFonts w:ascii="Calibri" w:eastAsia="Times New Roman" w:hAnsi="Calibri" w:cs="Calibri"/>
                <w:color w:val="000000"/>
                <w:sz w:val="22"/>
                <w:szCs w:val="22"/>
              </w:rPr>
              <w:t>Armory</w:t>
            </w:r>
          </w:p>
        </w:tc>
        <w:tc>
          <w:tcPr>
            <w:tcW w:w="1615" w:type="dxa"/>
            <w:tcBorders>
              <w:top w:val="nil"/>
              <w:left w:val="nil"/>
              <w:bottom w:val="single" w:sz="4" w:space="0" w:color="auto"/>
              <w:right w:val="single" w:sz="4" w:space="0" w:color="auto"/>
            </w:tcBorders>
            <w:shd w:val="clear" w:color="auto" w:fill="auto"/>
            <w:noWrap/>
            <w:hideMark/>
          </w:tcPr>
          <w:p w:rsidR="006633B9" w:rsidRPr="006633B9" w:rsidRDefault="006633B9" w:rsidP="006633B9">
            <w:pPr>
              <w:rPr>
                <w:rFonts w:ascii="Calibri" w:eastAsia="Times New Roman" w:hAnsi="Calibri" w:cs="Calibri"/>
                <w:color w:val="000000"/>
                <w:sz w:val="22"/>
                <w:szCs w:val="22"/>
              </w:rPr>
            </w:pPr>
            <w:r w:rsidRPr="006633B9">
              <w:rPr>
                <w:rFonts w:ascii="Calibri" w:eastAsia="Times New Roman" w:hAnsi="Calibri" w:cs="Calibri"/>
                <w:color w:val="000000"/>
                <w:sz w:val="22"/>
                <w:szCs w:val="22"/>
              </w:rPr>
              <w:t xml:space="preserve"> $        1,708.76 </w:t>
            </w:r>
          </w:p>
        </w:tc>
      </w:tr>
      <w:tr w:rsidR="006633B9" w:rsidRPr="006633B9" w:rsidTr="00DA29D9">
        <w:trPr>
          <w:trHeight w:val="345"/>
          <w:jc w:val="center"/>
        </w:trPr>
        <w:tc>
          <w:tcPr>
            <w:tcW w:w="1180" w:type="dxa"/>
            <w:tcBorders>
              <w:top w:val="nil"/>
              <w:left w:val="single" w:sz="4" w:space="0" w:color="auto"/>
              <w:bottom w:val="single" w:sz="4" w:space="0" w:color="auto"/>
              <w:right w:val="single" w:sz="4" w:space="0" w:color="auto"/>
            </w:tcBorders>
            <w:shd w:val="clear" w:color="auto" w:fill="auto"/>
            <w:noWrap/>
            <w:hideMark/>
          </w:tcPr>
          <w:p w:rsidR="006633B9" w:rsidRPr="006633B9" w:rsidRDefault="006633B9" w:rsidP="006633B9">
            <w:pPr>
              <w:rPr>
                <w:rFonts w:ascii="Calibri" w:eastAsia="Times New Roman" w:hAnsi="Calibri" w:cs="Calibri"/>
                <w:color w:val="000000"/>
                <w:sz w:val="22"/>
                <w:szCs w:val="22"/>
              </w:rPr>
            </w:pPr>
            <w:r w:rsidRPr="006633B9">
              <w:rPr>
                <w:rFonts w:ascii="Calibri" w:eastAsia="Times New Roman" w:hAnsi="Calibri" w:cs="Calibri"/>
                <w:color w:val="000000"/>
                <w:sz w:val="22"/>
                <w:szCs w:val="22"/>
              </w:rPr>
              <w:t>10232173</w:t>
            </w:r>
          </w:p>
        </w:tc>
        <w:tc>
          <w:tcPr>
            <w:tcW w:w="2800" w:type="dxa"/>
            <w:tcBorders>
              <w:top w:val="nil"/>
              <w:left w:val="nil"/>
              <w:bottom w:val="single" w:sz="4" w:space="0" w:color="auto"/>
              <w:right w:val="single" w:sz="4" w:space="0" w:color="auto"/>
            </w:tcBorders>
            <w:shd w:val="clear" w:color="auto" w:fill="auto"/>
            <w:noWrap/>
            <w:hideMark/>
          </w:tcPr>
          <w:p w:rsidR="006633B9" w:rsidRPr="006633B9" w:rsidRDefault="006633B9" w:rsidP="006633B9">
            <w:pPr>
              <w:rPr>
                <w:rFonts w:ascii="Calibri" w:eastAsia="Times New Roman" w:hAnsi="Calibri" w:cs="Calibri"/>
                <w:color w:val="000000"/>
                <w:sz w:val="22"/>
                <w:szCs w:val="22"/>
              </w:rPr>
            </w:pPr>
            <w:r w:rsidRPr="006633B9">
              <w:rPr>
                <w:rFonts w:ascii="Calibri" w:eastAsia="Times New Roman" w:hAnsi="Calibri" w:cs="Calibri"/>
                <w:color w:val="000000"/>
                <w:sz w:val="22"/>
                <w:szCs w:val="22"/>
              </w:rPr>
              <w:t>Undergraduate Library</w:t>
            </w:r>
          </w:p>
        </w:tc>
        <w:tc>
          <w:tcPr>
            <w:tcW w:w="1615" w:type="dxa"/>
            <w:tcBorders>
              <w:top w:val="nil"/>
              <w:left w:val="nil"/>
              <w:bottom w:val="single" w:sz="4" w:space="0" w:color="auto"/>
              <w:right w:val="single" w:sz="4" w:space="0" w:color="auto"/>
            </w:tcBorders>
            <w:shd w:val="clear" w:color="auto" w:fill="auto"/>
            <w:noWrap/>
            <w:hideMark/>
          </w:tcPr>
          <w:p w:rsidR="006633B9" w:rsidRPr="006633B9" w:rsidRDefault="006633B9" w:rsidP="006633B9">
            <w:pPr>
              <w:rPr>
                <w:rFonts w:ascii="Calibri" w:eastAsia="Times New Roman" w:hAnsi="Calibri" w:cs="Calibri"/>
                <w:color w:val="000000"/>
                <w:sz w:val="22"/>
                <w:szCs w:val="22"/>
              </w:rPr>
            </w:pPr>
            <w:r w:rsidRPr="006633B9">
              <w:rPr>
                <w:rFonts w:ascii="Calibri" w:eastAsia="Times New Roman" w:hAnsi="Calibri" w:cs="Calibri"/>
                <w:color w:val="000000"/>
                <w:sz w:val="22"/>
                <w:szCs w:val="22"/>
              </w:rPr>
              <w:t xml:space="preserve"> $        1,944.50 </w:t>
            </w:r>
          </w:p>
        </w:tc>
      </w:tr>
      <w:tr w:rsidR="006633B9" w:rsidRPr="006633B9" w:rsidTr="00DA29D9">
        <w:trPr>
          <w:trHeight w:val="345"/>
          <w:jc w:val="center"/>
        </w:trPr>
        <w:tc>
          <w:tcPr>
            <w:tcW w:w="1180" w:type="dxa"/>
            <w:tcBorders>
              <w:top w:val="nil"/>
              <w:left w:val="single" w:sz="4" w:space="0" w:color="auto"/>
              <w:bottom w:val="single" w:sz="4" w:space="0" w:color="auto"/>
              <w:right w:val="single" w:sz="4" w:space="0" w:color="auto"/>
            </w:tcBorders>
            <w:shd w:val="clear" w:color="auto" w:fill="auto"/>
            <w:noWrap/>
            <w:hideMark/>
          </w:tcPr>
          <w:p w:rsidR="006633B9" w:rsidRPr="006633B9" w:rsidRDefault="006633B9" w:rsidP="006633B9">
            <w:pPr>
              <w:rPr>
                <w:rFonts w:ascii="Calibri" w:eastAsia="Times New Roman" w:hAnsi="Calibri" w:cs="Calibri"/>
                <w:color w:val="000000"/>
                <w:sz w:val="22"/>
                <w:szCs w:val="22"/>
              </w:rPr>
            </w:pPr>
            <w:r w:rsidRPr="006633B9">
              <w:rPr>
                <w:rFonts w:ascii="Calibri" w:eastAsia="Times New Roman" w:hAnsi="Calibri" w:cs="Calibri"/>
                <w:color w:val="000000"/>
                <w:sz w:val="22"/>
                <w:szCs w:val="22"/>
              </w:rPr>
              <w:t>10232172</w:t>
            </w:r>
          </w:p>
        </w:tc>
        <w:tc>
          <w:tcPr>
            <w:tcW w:w="2800" w:type="dxa"/>
            <w:tcBorders>
              <w:top w:val="nil"/>
              <w:left w:val="nil"/>
              <w:bottom w:val="single" w:sz="4" w:space="0" w:color="auto"/>
              <w:right w:val="single" w:sz="4" w:space="0" w:color="auto"/>
            </w:tcBorders>
            <w:shd w:val="clear" w:color="auto" w:fill="auto"/>
            <w:noWrap/>
            <w:hideMark/>
          </w:tcPr>
          <w:p w:rsidR="006633B9" w:rsidRPr="006633B9" w:rsidRDefault="006633B9" w:rsidP="006633B9">
            <w:pPr>
              <w:rPr>
                <w:rFonts w:ascii="Calibri" w:eastAsia="Times New Roman" w:hAnsi="Calibri" w:cs="Calibri"/>
                <w:color w:val="000000"/>
                <w:sz w:val="22"/>
                <w:szCs w:val="22"/>
              </w:rPr>
            </w:pPr>
            <w:proofErr w:type="spellStart"/>
            <w:r w:rsidRPr="006633B9">
              <w:rPr>
                <w:rFonts w:ascii="Calibri" w:eastAsia="Times New Roman" w:hAnsi="Calibri" w:cs="Calibri"/>
                <w:color w:val="000000"/>
                <w:sz w:val="22"/>
                <w:szCs w:val="22"/>
              </w:rPr>
              <w:t>Wohlers</w:t>
            </w:r>
            <w:proofErr w:type="spellEnd"/>
            <w:r w:rsidRPr="006633B9">
              <w:rPr>
                <w:rFonts w:ascii="Calibri" w:eastAsia="Times New Roman" w:hAnsi="Calibri" w:cs="Calibri"/>
                <w:color w:val="000000"/>
                <w:sz w:val="22"/>
                <w:szCs w:val="22"/>
              </w:rPr>
              <w:t xml:space="preserve"> Hall</w:t>
            </w:r>
          </w:p>
        </w:tc>
        <w:tc>
          <w:tcPr>
            <w:tcW w:w="1615" w:type="dxa"/>
            <w:tcBorders>
              <w:top w:val="nil"/>
              <w:left w:val="nil"/>
              <w:bottom w:val="single" w:sz="4" w:space="0" w:color="auto"/>
              <w:right w:val="single" w:sz="4" w:space="0" w:color="auto"/>
            </w:tcBorders>
            <w:shd w:val="clear" w:color="auto" w:fill="auto"/>
            <w:noWrap/>
            <w:hideMark/>
          </w:tcPr>
          <w:p w:rsidR="006633B9" w:rsidRPr="006633B9" w:rsidRDefault="006633B9" w:rsidP="006633B9">
            <w:pPr>
              <w:rPr>
                <w:rFonts w:ascii="Calibri" w:eastAsia="Times New Roman" w:hAnsi="Calibri" w:cs="Calibri"/>
                <w:color w:val="000000"/>
                <w:sz w:val="22"/>
                <w:szCs w:val="22"/>
              </w:rPr>
            </w:pPr>
            <w:r w:rsidRPr="006633B9">
              <w:rPr>
                <w:rFonts w:ascii="Calibri" w:eastAsia="Times New Roman" w:hAnsi="Calibri" w:cs="Calibri"/>
                <w:color w:val="000000"/>
                <w:sz w:val="22"/>
                <w:szCs w:val="22"/>
              </w:rPr>
              <w:t xml:space="preserve"> $           601.60 </w:t>
            </w:r>
          </w:p>
        </w:tc>
      </w:tr>
      <w:tr w:rsidR="006633B9" w:rsidRPr="006633B9" w:rsidTr="00DA29D9">
        <w:trPr>
          <w:trHeight w:val="345"/>
          <w:jc w:val="center"/>
        </w:trPr>
        <w:tc>
          <w:tcPr>
            <w:tcW w:w="1180" w:type="dxa"/>
            <w:tcBorders>
              <w:top w:val="nil"/>
              <w:left w:val="nil"/>
              <w:bottom w:val="nil"/>
              <w:right w:val="nil"/>
            </w:tcBorders>
            <w:shd w:val="clear" w:color="auto" w:fill="auto"/>
            <w:noWrap/>
            <w:hideMark/>
          </w:tcPr>
          <w:p w:rsidR="006633B9" w:rsidRPr="006633B9" w:rsidRDefault="006633B9" w:rsidP="006633B9">
            <w:pPr>
              <w:rPr>
                <w:rFonts w:ascii="Calibri" w:eastAsia="Times New Roman" w:hAnsi="Calibri" w:cs="Calibri"/>
                <w:color w:val="000000"/>
                <w:sz w:val="22"/>
                <w:szCs w:val="22"/>
              </w:rPr>
            </w:pPr>
          </w:p>
        </w:tc>
        <w:tc>
          <w:tcPr>
            <w:tcW w:w="2800" w:type="dxa"/>
            <w:tcBorders>
              <w:top w:val="nil"/>
              <w:left w:val="nil"/>
              <w:bottom w:val="nil"/>
              <w:right w:val="nil"/>
            </w:tcBorders>
            <w:shd w:val="clear" w:color="auto" w:fill="auto"/>
            <w:noWrap/>
            <w:hideMark/>
          </w:tcPr>
          <w:p w:rsidR="006633B9" w:rsidRPr="006633B9" w:rsidRDefault="006633B9" w:rsidP="006633B9">
            <w:pPr>
              <w:rPr>
                <w:rFonts w:ascii="Calibri" w:eastAsia="Times New Roman" w:hAnsi="Calibri" w:cs="Calibri"/>
                <w:color w:val="000000"/>
                <w:sz w:val="22"/>
                <w:szCs w:val="22"/>
              </w:rPr>
            </w:pPr>
          </w:p>
        </w:tc>
        <w:tc>
          <w:tcPr>
            <w:tcW w:w="1615" w:type="dxa"/>
            <w:tcBorders>
              <w:top w:val="nil"/>
              <w:left w:val="single" w:sz="4" w:space="0" w:color="auto"/>
              <w:bottom w:val="single" w:sz="4" w:space="0" w:color="auto"/>
              <w:right w:val="single" w:sz="4" w:space="0" w:color="auto"/>
            </w:tcBorders>
            <w:shd w:val="clear" w:color="000000" w:fill="D9D9D9"/>
            <w:noWrap/>
            <w:hideMark/>
          </w:tcPr>
          <w:p w:rsidR="006633B9" w:rsidRPr="006633B9" w:rsidRDefault="006633B9" w:rsidP="006633B9">
            <w:pPr>
              <w:rPr>
                <w:rFonts w:ascii="Calibri" w:eastAsia="Times New Roman" w:hAnsi="Calibri" w:cs="Calibri"/>
                <w:b/>
                <w:bCs/>
                <w:color w:val="000000"/>
                <w:sz w:val="22"/>
                <w:szCs w:val="22"/>
              </w:rPr>
            </w:pPr>
            <w:r w:rsidRPr="006633B9">
              <w:rPr>
                <w:rFonts w:ascii="Calibri" w:eastAsia="Times New Roman" w:hAnsi="Calibri" w:cs="Calibri"/>
                <w:b/>
                <w:bCs/>
                <w:color w:val="000000"/>
                <w:sz w:val="22"/>
                <w:szCs w:val="22"/>
              </w:rPr>
              <w:t xml:space="preserve"> $     15,159.69 </w:t>
            </w:r>
          </w:p>
        </w:tc>
      </w:tr>
    </w:tbl>
    <w:p w:rsidR="005D4FCA" w:rsidRDefault="005D4FCA" w:rsidP="00B30041"/>
    <w:p w:rsidR="006633B9" w:rsidRDefault="006633B9" w:rsidP="00B30041">
      <w:r>
        <w:t>The remaining funds should be returned to the SSC funding pool.</w:t>
      </w:r>
    </w:p>
    <w:p w:rsidR="005D4FCA" w:rsidRDefault="005D4FCA" w:rsidP="00B30041"/>
    <w:p w:rsidR="00B30041" w:rsidRPr="00FC3781" w:rsidRDefault="00B30041" w:rsidP="00B30041">
      <w:pPr>
        <w:rPr>
          <w:b/>
          <w:u w:val="single"/>
        </w:rPr>
      </w:pPr>
      <w:r w:rsidRPr="00FC3781">
        <w:rPr>
          <w:b/>
          <w:u w:val="single"/>
        </w:rPr>
        <w:t>Statistics on student involvement/outreach</w:t>
      </w:r>
    </w:p>
    <w:p w:rsidR="00371A22" w:rsidRDefault="00FC3781" w:rsidP="00B30041">
      <w:r>
        <w:t>This proje</w:t>
      </w:r>
      <w:r w:rsidR="006633B9">
        <w:t xml:space="preserve">ct was initiated by students.  </w:t>
      </w:r>
    </w:p>
    <w:p w:rsidR="006633B9" w:rsidRDefault="006633B9" w:rsidP="00B30041"/>
    <w:p w:rsidR="006633B9" w:rsidRDefault="006633B9" w:rsidP="00B30041">
      <w:r>
        <w:t>On Oct 24, 2013, there was an outreach event in conjunction with Campus Sustainability Day.  The calendar described the event as follows:</w:t>
      </w:r>
    </w:p>
    <w:p w:rsidR="006633B9" w:rsidRDefault="006633B9" w:rsidP="006633B9">
      <w:pPr>
        <w:pStyle w:val="NormalWeb"/>
        <w:rPr>
          <w:rStyle w:val="Emphasis"/>
        </w:rPr>
      </w:pPr>
      <w:r>
        <w:t>“</w:t>
      </w:r>
      <w:r>
        <w:rPr>
          <w:rStyle w:val="Emphasis"/>
        </w:rPr>
        <w:t>11am-1pm</w:t>
      </w:r>
      <w:r>
        <w:t>:</w:t>
      </w:r>
      <w:r>
        <w:rPr>
          <w:rStyle w:val="apple-converted-space"/>
        </w:rPr>
        <w:t> </w:t>
      </w:r>
      <w:r>
        <w:rPr>
          <w:rStyle w:val="Strong"/>
        </w:rPr>
        <w:t>Tap That</w:t>
      </w:r>
      <w:r>
        <w:rPr>
          <w:rStyle w:val="apple-converted-space"/>
        </w:rPr>
        <w:t> </w:t>
      </w:r>
      <w:r>
        <w:t>-</w:t>
      </w:r>
      <w:r>
        <w:rPr>
          <w:rStyle w:val="apple-converted-space"/>
        </w:rPr>
        <w:t> </w:t>
      </w:r>
      <w:r>
        <w:rPr>
          <w:rStyle w:val="Strong"/>
        </w:rPr>
        <w:t>Water Taste Test</w:t>
      </w:r>
      <w:r>
        <w:rPr>
          <w:rStyle w:val="Strong"/>
        </w:rPr>
        <w:t xml:space="preserve"> </w:t>
      </w:r>
      <w:r>
        <w:t>The event involves students doing a blind test between tap water and bottled water. Then we survey which drink they prefer and what difference they can detect. </w:t>
      </w:r>
      <w:r>
        <w:rPr>
          <w:rStyle w:val="Emphasis"/>
        </w:rPr>
        <w:t>Illini Uni</w:t>
      </w:r>
      <w:r>
        <w:rPr>
          <w:rStyle w:val="Emphasis"/>
        </w:rPr>
        <w:t>on Anniversary Plaza (Quad Side”</w:t>
      </w:r>
    </w:p>
    <w:p w:rsidR="006633B9" w:rsidRPr="006633B9" w:rsidRDefault="006633B9" w:rsidP="006633B9">
      <w:pPr>
        <w:pStyle w:val="NormalWeb"/>
        <w:rPr>
          <w:i/>
        </w:rPr>
      </w:pPr>
      <w:r w:rsidRPr="006633B9">
        <w:rPr>
          <w:rStyle w:val="Emphasis"/>
          <w:i w:val="0"/>
        </w:rPr>
        <w:t>From Oct</w:t>
      </w:r>
      <w:r>
        <w:rPr>
          <w:rStyle w:val="Emphasis"/>
          <w:i w:val="0"/>
        </w:rPr>
        <w:t>ober</w:t>
      </w:r>
      <w:r w:rsidRPr="006633B9">
        <w:rPr>
          <w:rStyle w:val="Emphasis"/>
          <w:i w:val="0"/>
        </w:rPr>
        <w:t xml:space="preserve"> 19 to </w:t>
      </w:r>
      <w:r>
        <w:rPr>
          <w:rStyle w:val="Emphasis"/>
          <w:i w:val="0"/>
        </w:rPr>
        <w:t>November 22, 2013, the Tap That campaign included a Facebook page.  The page received 98</w:t>
      </w:r>
      <w:r w:rsidR="00DA29D9">
        <w:rPr>
          <w:rStyle w:val="Emphasis"/>
          <w:i w:val="0"/>
        </w:rPr>
        <w:t xml:space="preserve"> likes.</w:t>
      </w:r>
    </w:p>
    <w:sectPr w:rsidR="006633B9" w:rsidRPr="006633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B3C38"/>
    <w:multiLevelType w:val="multilevel"/>
    <w:tmpl w:val="D6F61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8987E99"/>
    <w:multiLevelType w:val="hybridMultilevel"/>
    <w:tmpl w:val="207226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D47111D"/>
    <w:multiLevelType w:val="hybridMultilevel"/>
    <w:tmpl w:val="97948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041"/>
    <w:rsid w:val="00176F72"/>
    <w:rsid w:val="00371A22"/>
    <w:rsid w:val="004B4349"/>
    <w:rsid w:val="005D4FCA"/>
    <w:rsid w:val="006633B9"/>
    <w:rsid w:val="009402E7"/>
    <w:rsid w:val="00AC5DD0"/>
    <w:rsid w:val="00AE231E"/>
    <w:rsid w:val="00B30041"/>
    <w:rsid w:val="00CC791D"/>
    <w:rsid w:val="00D5194E"/>
    <w:rsid w:val="00DA29D9"/>
    <w:rsid w:val="00FC3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041"/>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194E"/>
    <w:rPr>
      <w:rFonts w:ascii="Tahoma" w:hAnsi="Tahoma" w:cs="Tahoma"/>
      <w:sz w:val="16"/>
      <w:szCs w:val="16"/>
    </w:rPr>
  </w:style>
  <w:style w:type="character" w:customStyle="1" w:styleId="BalloonTextChar">
    <w:name w:val="Balloon Text Char"/>
    <w:basedOn w:val="DefaultParagraphFont"/>
    <w:link w:val="BalloonText"/>
    <w:uiPriority w:val="99"/>
    <w:semiHidden/>
    <w:rsid w:val="00D5194E"/>
    <w:rPr>
      <w:rFonts w:ascii="Tahoma" w:hAnsi="Tahoma" w:cs="Tahoma"/>
      <w:sz w:val="16"/>
      <w:szCs w:val="16"/>
    </w:rPr>
  </w:style>
  <w:style w:type="paragraph" w:styleId="ListParagraph">
    <w:name w:val="List Paragraph"/>
    <w:basedOn w:val="Normal"/>
    <w:uiPriority w:val="34"/>
    <w:qFormat/>
    <w:rsid w:val="00CC791D"/>
    <w:pPr>
      <w:ind w:left="720"/>
      <w:contextualSpacing/>
    </w:pPr>
  </w:style>
  <w:style w:type="paragraph" w:styleId="NormalWeb">
    <w:name w:val="Normal (Web)"/>
    <w:basedOn w:val="Normal"/>
    <w:uiPriority w:val="99"/>
    <w:unhideWhenUsed/>
    <w:rsid w:val="006633B9"/>
    <w:pPr>
      <w:spacing w:before="100" w:beforeAutospacing="1" w:after="100" w:afterAutospacing="1"/>
    </w:pPr>
    <w:rPr>
      <w:rFonts w:eastAsia="Times New Roman"/>
    </w:rPr>
  </w:style>
  <w:style w:type="character" w:styleId="Emphasis">
    <w:name w:val="Emphasis"/>
    <w:basedOn w:val="DefaultParagraphFont"/>
    <w:uiPriority w:val="20"/>
    <w:qFormat/>
    <w:rsid w:val="006633B9"/>
    <w:rPr>
      <w:i/>
      <w:iCs/>
    </w:rPr>
  </w:style>
  <w:style w:type="character" w:customStyle="1" w:styleId="apple-converted-space">
    <w:name w:val="apple-converted-space"/>
    <w:basedOn w:val="DefaultParagraphFont"/>
    <w:rsid w:val="006633B9"/>
  </w:style>
  <w:style w:type="character" w:styleId="Strong">
    <w:name w:val="Strong"/>
    <w:basedOn w:val="DefaultParagraphFont"/>
    <w:uiPriority w:val="22"/>
    <w:qFormat/>
    <w:rsid w:val="006633B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041"/>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194E"/>
    <w:rPr>
      <w:rFonts w:ascii="Tahoma" w:hAnsi="Tahoma" w:cs="Tahoma"/>
      <w:sz w:val="16"/>
      <w:szCs w:val="16"/>
    </w:rPr>
  </w:style>
  <w:style w:type="character" w:customStyle="1" w:styleId="BalloonTextChar">
    <w:name w:val="Balloon Text Char"/>
    <w:basedOn w:val="DefaultParagraphFont"/>
    <w:link w:val="BalloonText"/>
    <w:uiPriority w:val="99"/>
    <w:semiHidden/>
    <w:rsid w:val="00D5194E"/>
    <w:rPr>
      <w:rFonts w:ascii="Tahoma" w:hAnsi="Tahoma" w:cs="Tahoma"/>
      <w:sz w:val="16"/>
      <w:szCs w:val="16"/>
    </w:rPr>
  </w:style>
  <w:style w:type="paragraph" w:styleId="ListParagraph">
    <w:name w:val="List Paragraph"/>
    <w:basedOn w:val="Normal"/>
    <w:uiPriority w:val="34"/>
    <w:qFormat/>
    <w:rsid w:val="00CC791D"/>
    <w:pPr>
      <w:ind w:left="720"/>
      <w:contextualSpacing/>
    </w:pPr>
  </w:style>
  <w:style w:type="paragraph" w:styleId="NormalWeb">
    <w:name w:val="Normal (Web)"/>
    <w:basedOn w:val="Normal"/>
    <w:uiPriority w:val="99"/>
    <w:unhideWhenUsed/>
    <w:rsid w:val="006633B9"/>
    <w:pPr>
      <w:spacing w:before="100" w:beforeAutospacing="1" w:after="100" w:afterAutospacing="1"/>
    </w:pPr>
    <w:rPr>
      <w:rFonts w:eastAsia="Times New Roman"/>
    </w:rPr>
  </w:style>
  <w:style w:type="character" w:styleId="Emphasis">
    <w:name w:val="Emphasis"/>
    <w:basedOn w:val="DefaultParagraphFont"/>
    <w:uiPriority w:val="20"/>
    <w:qFormat/>
    <w:rsid w:val="006633B9"/>
    <w:rPr>
      <w:i/>
      <w:iCs/>
    </w:rPr>
  </w:style>
  <w:style w:type="character" w:customStyle="1" w:styleId="apple-converted-space">
    <w:name w:val="apple-converted-space"/>
    <w:basedOn w:val="DefaultParagraphFont"/>
    <w:rsid w:val="006633B9"/>
  </w:style>
  <w:style w:type="character" w:styleId="Strong">
    <w:name w:val="Strong"/>
    <w:basedOn w:val="DefaultParagraphFont"/>
    <w:uiPriority w:val="22"/>
    <w:qFormat/>
    <w:rsid w:val="006633B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66303">
      <w:bodyDiv w:val="1"/>
      <w:marLeft w:val="0"/>
      <w:marRight w:val="0"/>
      <w:marTop w:val="0"/>
      <w:marBottom w:val="0"/>
      <w:divBdr>
        <w:top w:val="none" w:sz="0" w:space="0" w:color="auto"/>
        <w:left w:val="none" w:sz="0" w:space="0" w:color="auto"/>
        <w:bottom w:val="none" w:sz="0" w:space="0" w:color="auto"/>
        <w:right w:val="none" w:sz="0" w:space="0" w:color="auto"/>
      </w:divBdr>
    </w:div>
    <w:div w:id="186413827">
      <w:bodyDiv w:val="1"/>
      <w:marLeft w:val="0"/>
      <w:marRight w:val="0"/>
      <w:marTop w:val="0"/>
      <w:marBottom w:val="0"/>
      <w:divBdr>
        <w:top w:val="none" w:sz="0" w:space="0" w:color="auto"/>
        <w:left w:val="none" w:sz="0" w:space="0" w:color="auto"/>
        <w:bottom w:val="none" w:sz="0" w:space="0" w:color="auto"/>
        <w:right w:val="none" w:sz="0" w:space="0" w:color="auto"/>
      </w:divBdr>
    </w:div>
    <w:div w:id="246810925">
      <w:bodyDiv w:val="1"/>
      <w:marLeft w:val="0"/>
      <w:marRight w:val="0"/>
      <w:marTop w:val="0"/>
      <w:marBottom w:val="0"/>
      <w:divBdr>
        <w:top w:val="none" w:sz="0" w:space="0" w:color="auto"/>
        <w:left w:val="none" w:sz="0" w:space="0" w:color="auto"/>
        <w:bottom w:val="none" w:sz="0" w:space="0" w:color="auto"/>
        <w:right w:val="none" w:sz="0" w:space="0" w:color="auto"/>
      </w:divBdr>
    </w:div>
    <w:div w:id="346638170">
      <w:bodyDiv w:val="1"/>
      <w:marLeft w:val="0"/>
      <w:marRight w:val="0"/>
      <w:marTop w:val="0"/>
      <w:marBottom w:val="0"/>
      <w:divBdr>
        <w:top w:val="none" w:sz="0" w:space="0" w:color="auto"/>
        <w:left w:val="none" w:sz="0" w:space="0" w:color="auto"/>
        <w:bottom w:val="none" w:sz="0" w:space="0" w:color="auto"/>
        <w:right w:val="none" w:sz="0" w:space="0" w:color="auto"/>
      </w:divBdr>
    </w:div>
    <w:div w:id="1098991172">
      <w:bodyDiv w:val="1"/>
      <w:marLeft w:val="0"/>
      <w:marRight w:val="0"/>
      <w:marTop w:val="0"/>
      <w:marBottom w:val="0"/>
      <w:divBdr>
        <w:top w:val="none" w:sz="0" w:space="0" w:color="auto"/>
        <w:left w:val="none" w:sz="0" w:space="0" w:color="auto"/>
        <w:bottom w:val="none" w:sz="0" w:space="0" w:color="auto"/>
        <w:right w:val="none" w:sz="0" w:space="0" w:color="auto"/>
      </w:divBdr>
    </w:div>
    <w:div w:id="1908221179">
      <w:bodyDiv w:val="1"/>
      <w:marLeft w:val="0"/>
      <w:marRight w:val="0"/>
      <w:marTop w:val="0"/>
      <w:marBottom w:val="0"/>
      <w:divBdr>
        <w:top w:val="none" w:sz="0" w:space="0" w:color="auto"/>
        <w:left w:val="none" w:sz="0" w:space="0" w:color="auto"/>
        <w:bottom w:val="none" w:sz="0" w:space="0" w:color="auto"/>
        <w:right w:val="none" w:sz="0" w:space="0" w:color="auto"/>
      </w:divBdr>
    </w:div>
    <w:div w:id="202528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534</Words>
  <Characters>3046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Facilities and Services</Company>
  <LinksUpToDate>false</LinksUpToDate>
  <CharactersWithSpaces>3573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 Johnston</dc:creator>
  <cp:lastModifiedBy>Morgan Johnston</cp:lastModifiedBy>
  <cp:revision>3</cp:revision>
  <dcterms:created xsi:type="dcterms:W3CDTF">2014-08-25T18:24:00Z</dcterms:created>
  <dcterms:modified xsi:type="dcterms:W3CDTF">2014-08-25T18:49:00Z</dcterms:modified>
</cp:coreProperties>
</file>