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5B73" w14:textId="75E93936" w:rsidR="00F444CB" w:rsidRPr="007D37F3" w:rsidRDefault="00F444CB">
      <w:pPr>
        <w:rPr>
          <w:b/>
          <w:bCs/>
        </w:rPr>
      </w:pPr>
      <w:r w:rsidRPr="007D37F3">
        <w:rPr>
          <w:b/>
          <w:bCs/>
        </w:rPr>
        <w:t>Part 1: Green Research Program</w:t>
      </w:r>
    </w:p>
    <w:p w14:paraId="03FCC18B" w14:textId="1761E63C" w:rsidR="00B23147" w:rsidRDefault="01F5409E">
      <w:r>
        <w:t>The Green Research Committee</w:t>
      </w:r>
      <w:r w:rsidR="7D580B1D">
        <w:t xml:space="preserve"> (Committee)</w:t>
      </w:r>
      <w:r>
        <w:t xml:space="preserve"> was formed to provide recommendations for </w:t>
      </w:r>
      <w:r w:rsidRPr="560FF13B">
        <w:rPr>
          <w:i/>
          <w:iCs/>
        </w:rPr>
        <w:t>Green Research Activities</w:t>
      </w:r>
      <w:r>
        <w:t xml:space="preserve"> that will contribute significantly to the achievement of Illinois’ iCAP goals</w:t>
      </w:r>
      <w:r w:rsidR="1878DF7F">
        <w:t xml:space="preserve"> and the University’s commitment to sustainability</w:t>
      </w:r>
      <w:r>
        <w:t>. The following are recommendations resulting from the research, conversations, and ideas of the Green Research Committee members</w:t>
      </w:r>
      <w:r w:rsidR="6683E90A">
        <w:t xml:space="preserve"> in response to the Committee’s first two charges</w:t>
      </w:r>
      <w:r w:rsidR="7D580B1D">
        <w:t>.</w:t>
      </w:r>
      <w:r w:rsidR="6683E90A">
        <w:t xml:space="preserve"> </w:t>
      </w:r>
      <w:r w:rsidR="7D580B1D">
        <w:t xml:space="preserve">  </w:t>
      </w:r>
    </w:p>
    <w:p w14:paraId="19609C6C" w14:textId="30F356BA" w:rsidR="009D4885" w:rsidRPr="009D4885" w:rsidRDefault="00A4219C">
      <w:pPr>
        <w:rPr>
          <w:u w:val="single"/>
        </w:rPr>
      </w:pPr>
      <w:r w:rsidRPr="73A4158B">
        <w:rPr>
          <w:u w:val="single"/>
        </w:rPr>
        <w:t xml:space="preserve">Green Research Program: </w:t>
      </w:r>
      <w:r w:rsidR="009D4885" w:rsidRPr="73A4158B">
        <w:rPr>
          <w:u w:val="single"/>
        </w:rPr>
        <w:t>Staffing and Support Framework</w:t>
      </w:r>
    </w:p>
    <w:p w14:paraId="03E2645E" w14:textId="5251149A" w:rsidR="00685EB8" w:rsidRDefault="1878DF7F">
      <w:r>
        <w:t>A Green Research Program must be established to</w:t>
      </w:r>
      <w:r w:rsidR="01F5409E">
        <w:t xml:space="preserve"> make progress in research environments</w:t>
      </w:r>
      <w:r>
        <w:t>.</w:t>
      </w:r>
      <w:r w:rsidR="01F5409E">
        <w:t xml:space="preserve"> </w:t>
      </w:r>
      <w:r>
        <w:t>There must</w:t>
      </w:r>
      <w:r w:rsidR="01F5409E">
        <w:t xml:space="preserve"> be an investment in </w:t>
      </w:r>
      <w:r w:rsidR="2ABF3741">
        <w:t xml:space="preserve">developing, </w:t>
      </w:r>
      <w:r w:rsidR="01F5409E">
        <w:t>leading</w:t>
      </w:r>
      <w:r w:rsidR="2ABF3741">
        <w:t>,</w:t>
      </w:r>
      <w:r w:rsidR="01F5409E">
        <w:t xml:space="preserve"> and communicating all initiatives.</w:t>
      </w:r>
      <w:r w:rsidR="464AABD1">
        <w:t xml:space="preserve"> We recommend the following </w:t>
      </w:r>
      <w:r w:rsidR="5C2E46C5">
        <w:t xml:space="preserve">initial </w:t>
      </w:r>
      <w:r w:rsidR="464AABD1">
        <w:t>minimum resources</w:t>
      </w:r>
      <w:r>
        <w:t xml:space="preserve"> for a Green Research Program</w:t>
      </w:r>
      <w:r w:rsidR="464AABD1">
        <w:t>:</w:t>
      </w:r>
      <w:r w:rsidR="01F5409E">
        <w:t xml:space="preserve"> </w:t>
      </w:r>
    </w:p>
    <w:p w14:paraId="55247A58" w14:textId="13C72FB2" w:rsidR="00170843" w:rsidRDefault="00A4219C" w:rsidP="00A4219C">
      <w:pPr>
        <w:pStyle w:val="ListParagraph"/>
        <w:numPr>
          <w:ilvl w:val="0"/>
          <w:numId w:val="9"/>
        </w:numPr>
      </w:pPr>
      <w:r>
        <w:rPr>
          <w:b/>
          <w:bCs/>
        </w:rPr>
        <w:t>Funding for o</w:t>
      </w:r>
      <w:r w:rsidR="00170843" w:rsidRPr="00685EB8">
        <w:rPr>
          <w:b/>
          <w:bCs/>
        </w:rPr>
        <w:t>ne full-time individual</w:t>
      </w:r>
      <w:r w:rsidR="00170843">
        <w:t xml:space="preserve"> to lead the efforts</w:t>
      </w:r>
      <w:r w:rsidR="00685EB8">
        <w:t>, a Green Research Coordinator (GRC)</w:t>
      </w:r>
      <w:r w:rsidR="00170843">
        <w:t xml:space="preserve">. </w:t>
      </w:r>
    </w:p>
    <w:p w14:paraId="70E07E74" w14:textId="6D95576A" w:rsidR="00DC25CE" w:rsidRDefault="00A4219C" w:rsidP="00A4219C">
      <w:pPr>
        <w:pStyle w:val="ListParagraph"/>
        <w:numPr>
          <w:ilvl w:val="0"/>
          <w:numId w:val="9"/>
        </w:numPr>
      </w:pPr>
      <w:r>
        <w:t xml:space="preserve">Support of </w:t>
      </w:r>
      <w:r w:rsidR="00DF523B">
        <w:t>a</w:t>
      </w:r>
      <w:r w:rsidR="00DC25CE">
        <w:t xml:space="preserve"> communications team</w:t>
      </w:r>
      <w:r w:rsidR="00DF523B">
        <w:t xml:space="preserve"> and</w:t>
      </w:r>
      <w:r w:rsidR="00DC25CE">
        <w:t xml:space="preserve"> IT development team. </w:t>
      </w:r>
    </w:p>
    <w:p w14:paraId="23D25599" w14:textId="1DA9312E" w:rsidR="00535AB2" w:rsidRDefault="000D2861" w:rsidP="00A4219C">
      <w:pPr>
        <w:pStyle w:val="ListParagraph"/>
        <w:numPr>
          <w:ilvl w:val="0"/>
          <w:numId w:val="9"/>
        </w:numPr>
      </w:pPr>
      <w:r>
        <w:t>S</w:t>
      </w:r>
      <w:r w:rsidR="00535AB2">
        <w:t>pace to receive, store, and distribute lab supplies, equipment, and chemicals as part of the proposed reduce, reuse, and recycle campaign</w:t>
      </w:r>
      <w:r w:rsidR="00F9535A">
        <w:t xml:space="preserve"> discussed below</w:t>
      </w:r>
      <w:r>
        <w:t xml:space="preserve"> (e.g., space in existing storerooms or abandoned labs).</w:t>
      </w:r>
    </w:p>
    <w:p w14:paraId="0947A56B" w14:textId="35DC01CD" w:rsidR="00DF523B" w:rsidRDefault="00224FD1" w:rsidP="00A4219C">
      <w:pPr>
        <w:pStyle w:val="ListParagraph"/>
        <w:numPr>
          <w:ilvl w:val="0"/>
          <w:numId w:val="9"/>
        </w:numPr>
      </w:pPr>
      <w:r>
        <w:t>Annual</w:t>
      </w:r>
      <w:r w:rsidR="00DF523B">
        <w:t xml:space="preserve"> budget </w:t>
      </w:r>
      <w:r w:rsidR="00CB7B9D">
        <w:t xml:space="preserve">of $30,000 </w:t>
      </w:r>
      <w:r w:rsidR="00DF523B">
        <w:t>for training development, promotional materials, equipment and supplies for new initiatives</w:t>
      </w:r>
      <w:r w:rsidR="00F9535A">
        <w:t xml:space="preserve"> and pilot programs</w:t>
      </w:r>
      <w:r w:rsidR="00DF523B">
        <w:t>, and</w:t>
      </w:r>
      <w:r w:rsidR="00B11AD3">
        <w:t xml:space="preserve"> </w:t>
      </w:r>
      <w:r w:rsidR="00F9535A">
        <w:t xml:space="preserve">paid </w:t>
      </w:r>
      <w:r w:rsidR="00CB7B9D">
        <w:t>student workers</w:t>
      </w:r>
      <w:r w:rsidR="00DF523B">
        <w:t>.</w:t>
      </w:r>
    </w:p>
    <w:p w14:paraId="7A4BC2CB" w14:textId="6DDA20BA" w:rsidR="0014044D" w:rsidRDefault="0014044D" w:rsidP="00A4219C">
      <w:pPr>
        <w:pStyle w:val="ListParagraph"/>
        <w:numPr>
          <w:ilvl w:val="0"/>
          <w:numId w:val="9"/>
        </w:numPr>
      </w:pPr>
      <w:r>
        <w:t>Access to OVCRI Training Portal to post training modules</w:t>
      </w:r>
      <w:r w:rsidR="009F1F7E">
        <w:t>.</w:t>
      </w:r>
      <w:r>
        <w:t xml:space="preserve"> </w:t>
      </w:r>
    </w:p>
    <w:p w14:paraId="564C24BE" w14:textId="317CB623" w:rsidR="00A4219C" w:rsidRDefault="00A4219C" w:rsidP="00A4219C">
      <w:pPr>
        <w:pStyle w:val="ListParagraph"/>
        <w:numPr>
          <w:ilvl w:val="0"/>
          <w:numId w:val="9"/>
        </w:numPr>
      </w:pPr>
      <w:r>
        <w:t>Green Research Ambassadors throughout the University</w:t>
      </w:r>
      <w:r w:rsidR="009F1F7E">
        <w:t>.</w:t>
      </w:r>
    </w:p>
    <w:p w14:paraId="37B06700" w14:textId="43983CFC" w:rsidR="008364C3" w:rsidRDefault="00685EB8" w:rsidP="00685EB8">
      <w:r>
        <w:t>The GRC’s main duties are to work closely with stakeholders (re</w:t>
      </w:r>
      <w:r w:rsidR="00F91BB6">
        <w:t>searchers, safety units, sustainability office, and facilities &amp; services), foster collaboration, be persistent, maintain communication channels</w:t>
      </w:r>
      <w:r w:rsidR="00553637">
        <w:t>, and track progress</w:t>
      </w:r>
      <w:r w:rsidR="00F91BB6">
        <w:t xml:space="preserve">. </w:t>
      </w:r>
      <w:r w:rsidR="008364C3">
        <w:t xml:space="preserve">The GRC will need to prepare metrics for each initiative that tracks progress and participation at the lab, department, and college level and communicate those metrics to the campus community. Metrics should include both leading and lagging </w:t>
      </w:r>
      <w:r w:rsidR="00EB101B">
        <w:t>indicators. Examples of leading indicators include number of people completing green research training, number of Green Research Ambassadors, percent of lab participation, clicks rates on emailed promotional materials, and number of GRC interventions. Examples of lagging indicators include waste reduction, materials diverted, energy reduction, and water use reduction.</w:t>
      </w:r>
    </w:p>
    <w:p w14:paraId="743ACDB2" w14:textId="1E18C7A9" w:rsidR="008364C3" w:rsidRDefault="00F91BB6" w:rsidP="00685EB8">
      <w:r>
        <w:t>The GRC will be expected to have frequent meetings with F&amp;S, ISEE, and DRS so they can make informed decisions about new initiatives, while understanding regulatory impacts and campus goals.</w:t>
      </w:r>
      <w:r w:rsidR="00667260">
        <w:t xml:space="preserve"> </w:t>
      </w:r>
    </w:p>
    <w:p w14:paraId="32BF45CC" w14:textId="2A3CA962" w:rsidR="00F91BB6" w:rsidRDefault="00667260" w:rsidP="00685EB8">
      <w:r>
        <w:t xml:space="preserve">It is recommended that the Green Research Program reside within the </w:t>
      </w:r>
      <w:r w:rsidR="00942398">
        <w:t>Office of Vice Chancellor for Research and Innovation (OVCRI) with t</w:t>
      </w:r>
      <w:r w:rsidR="00F91BB6">
        <w:t>heir reporting line</w:t>
      </w:r>
      <w:r w:rsidR="00942398">
        <w:t xml:space="preserve"> being</w:t>
      </w:r>
      <w:r w:rsidR="00F91BB6">
        <w:t xml:space="preserve"> decided by the Vice Chancellor for Research and Innovation with input from </w:t>
      </w:r>
      <w:r w:rsidR="00942398">
        <w:t xml:space="preserve">the Executive Director of Facilities &amp; Services, Director of the Institute for Sustainability, Energy and Environment, and other </w:t>
      </w:r>
      <w:r w:rsidR="00F91BB6">
        <w:t>necessary Directors</w:t>
      </w:r>
      <w:r w:rsidR="00DC25CE">
        <w:t xml:space="preserve"> and leadership</w:t>
      </w:r>
      <w:r w:rsidR="00942398">
        <w:t xml:space="preserve"> in the OVCRI and research colleges</w:t>
      </w:r>
      <w:r w:rsidR="00F91BB6">
        <w:t xml:space="preserve">. </w:t>
      </w:r>
    </w:p>
    <w:p w14:paraId="4897AE10" w14:textId="3344DF78" w:rsidR="000772A3" w:rsidRDefault="00224FD1" w:rsidP="00DC25CE">
      <w:r>
        <w:t>We recommend that each</w:t>
      </w:r>
      <w:r w:rsidR="00DC25CE">
        <w:t xml:space="preserve"> department names a</w:t>
      </w:r>
      <w:r w:rsidR="05A63DD4">
        <w:t>t least one</w:t>
      </w:r>
      <w:r w:rsidR="00DC25CE">
        <w:t xml:space="preserve"> </w:t>
      </w:r>
      <w:r w:rsidR="00DC25CE" w:rsidRPr="73A4158B">
        <w:rPr>
          <w:b/>
          <w:bCs/>
        </w:rPr>
        <w:t>Green Research Ambassador</w:t>
      </w:r>
      <w:r w:rsidR="007C2C52" w:rsidRPr="73A4158B">
        <w:rPr>
          <w:b/>
          <w:bCs/>
        </w:rPr>
        <w:t xml:space="preserve"> (A</w:t>
      </w:r>
      <w:r w:rsidR="00045620" w:rsidRPr="73A4158B">
        <w:rPr>
          <w:b/>
          <w:bCs/>
        </w:rPr>
        <w:t>mbassador</w:t>
      </w:r>
      <w:r w:rsidR="007C2C52" w:rsidRPr="73A4158B">
        <w:rPr>
          <w:b/>
          <w:bCs/>
        </w:rPr>
        <w:t>)</w:t>
      </w:r>
      <w:r w:rsidR="00DC25CE">
        <w:t>. It should also be encouraged for each research group to have</w:t>
      </w:r>
      <w:r w:rsidR="00EB101B">
        <w:t xml:space="preserve"> at least one</w:t>
      </w:r>
      <w:r w:rsidR="00CF6C22">
        <w:t xml:space="preserve"> </w:t>
      </w:r>
      <w:r w:rsidR="00D21D11">
        <w:t>Ambassador to</w:t>
      </w:r>
      <w:r w:rsidR="00DC25CE">
        <w:t xml:space="preserve"> implement applicable initiatives and stay in contact with the GRC. Ambassadors will be the primary liaison between research groups and the GRC.</w:t>
      </w:r>
      <w:r w:rsidR="00EB101B">
        <w:t xml:space="preserve"> Departments and labs are encouraged to have more than one </w:t>
      </w:r>
      <w:r w:rsidR="00EB101B">
        <w:lastRenderedPageBreak/>
        <w:t>Ambassador.</w:t>
      </w:r>
      <w:r w:rsidR="007C2C52">
        <w:t xml:space="preserve"> Departmental </w:t>
      </w:r>
      <w:r w:rsidR="00045620">
        <w:t>Ambassador</w:t>
      </w:r>
      <w:r w:rsidR="007C2C52">
        <w:t xml:space="preserve"> engagement and participation activities</w:t>
      </w:r>
      <w:r w:rsidR="00CF6C22">
        <w:t xml:space="preserve"> will be tracked by the GRC</w:t>
      </w:r>
      <w:r w:rsidR="007C2C52">
        <w:t xml:space="preserve">. </w:t>
      </w:r>
      <w:r w:rsidR="003C7E28">
        <w:t xml:space="preserve">The GRC will request that departments replace Ambassadors </w:t>
      </w:r>
      <w:r w:rsidR="007C2C52">
        <w:t>that fail to achieve minimum metrics</w:t>
      </w:r>
      <w:r w:rsidR="000D2861">
        <w:t xml:space="preserve"> established by the GRC</w:t>
      </w:r>
      <w:r w:rsidR="007C2C52">
        <w:t xml:space="preserve">. Due to variation in </w:t>
      </w:r>
      <w:r w:rsidR="00045620">
        <w:t>Ambassador</w:t>
      </w:r>
      <w:r w:rsidR="007C2C52">
        <w:t xml:space="preserve"> </w:t>
      </w:r>
      <w:r w:rsidR="0097355B">
        <w:t>engagement,</w:t>
      </w:r>
      <w:r w:rsidR="007C2C52">
        <w:t xml:space="preserve"> it will be important for the GRC to periodically engage directly with research groups. As the Green Research Program grows, both in scope and participation, the employment of a second GRC may be necessary </w:t>
      </w:r>
      <w:r w:rsidR="00045620">
        <w:t>t</w:t>
      </w:r>
      <w:r w:rsidR="007C2C52">
        <w:t xml:space="preserve">o achieve </w:t>
      </w:r>
      <w:r w:rsidR="00045620">
        <w:t>and sustain success.</w:t>
      </w:r>
      <w:r w:rsidR="007C2C52">
        <w:t xml:space="preserve">    </w:t>
      </w:r>
    </w:p>
    <w:p w14:paraId="57A7DA48" w14:textId="05CD1665" w:rsidR="009D4885" w:rsidRPr="009D4885" w:rsidRDefault="00224FD1" w:rsidP="00DC25CE">
      <w:pPr>
        <w:rPr>
          <w:u w:val="single"/>
        </w:rPr>
      </w:pPr>
      <w:r>
        <w:rPr>
          <w:u w:val="single"/>
        </w:rPr>
        <w:t>Green Research Program: Initiatives</w:t>
      </w:r>
    </w:p>
    <w:p w14:paraId="415791B5" w14:textId="62D0390F" w:rsidR="00133815" w:rsidRDefault="00DC25CE" w:rsidP="00DC25CE">
      <w:r>
        <w:t xml:space="preserve">The GRC </w:t>
      </w:r>
      <w:r w:rsidR="00224FD1">
        <w:t>will develop a Green Research Program by piloting a few initiatives with diverse research groups (size, research environment, discipl</w:t>
      </w:r>
      <w:r w:rsidR="6D7417EF">
        <w:t>in</w:t>
      </w:r>
      <w:r w:rsidR="00224FD1">
        <w:t xml:space="preserve">e). </w:t>
      </w:r>
    </w:p>
    <w:p w14:paraId="5C4F4385" w14:textId="330D938B" w:rsidR="00410B2C" w:rsidRDefault="00410B2C" w:rsidP="00DC25CE">
      <w:r>
        <w:t>Communication/education</w:t>
      </w:r>
      <w:r w:rsidR="00224FD1">
        <w:t xml:space="preserve"> initiatives</w:t>
      </w:r>
      <w:r>
        <w:t>:</w:t>
      </w:r>
    </w:p>
    <w:p w14:paraId="46DED9E1" w14:textId="266CA52F" w:rsidR="002C042C" w:rsidRDefault="002C042C" w:rsidP="00133815">
      <w:pPr>
        <w:pStyle w:val="ListParagraph"/>
        <w:numPr>
          <w:ilvl w:val="0"/>
          <w:numId w:val="2"/>
        </w:numPr>
      </w:pPr>
      <w:r>
        <w:t>Develop a communication/</w:t>
      </w:r>
      <w:r w:rsidR="00410B2C">
        <w:t>advertisement plan</w:t>
      </w:r>
      <w:r>
        <w:t xml:space="preserve"> for rolling out all new initiatives in the </w:t>
      </w:r>
      <w:r w:rsidR="003C7E28">
        <w:t>G</w:t>
      </w:r>
      <w:r>
        <w:t>reen</w:t>
      </w:r>
      <w:r w:rsidR="003C7E28">
        <w:t xml:space="preserve"> R</w:t>
      </w:r>
      <w:r>
        <w:t xml:space="preserve">esearch </w:t>
      </w:r>
      <w:r w:rsidR="003C7E28">
        <w:t>P</w:t>
      </w:r>
      <w:r>
        <w:t>rogram. This can be done in collaboration with the communication team assigned to support this program</w:t>
      </w:r>
      <w:r w:rsidR="00224FD1">
        <w:t xml:space="preserve"> and shared with the stakeholders from diverse research groups</w:t>
      </w:r>
      <w:r>
        <w:t>.</w:t>
      </w:r>
    </w:p>
    <w:p w14:paraId="290592BD" w14:textId="77777777" w:rsidR="0014044D" w:rsidRDefault="003C4CFB" w:rsidP="00133815">
      <w:pPr>
        <w:pStyle w:val="ListParagraph"/>
        <w:numPr>
          <w:ilvl w:val="0"/>
          <w:numId w:val="2"/>
        </w:numPr>
      </w:pPr>
      <w:r>
        <w:t xml:space="preserve">Develop </w:t>
      </w:r>
      <w:r w:rsidR="009D4885">
        <w:t xml:space="preserve">a training curriculum. </w:t>
      </w:r>
    </w:p>
    <w:p w14:paraId="01B748F5" w14:textId="40873C18" w:rsidR="0014044D" w:rsidRDefault="0014044D" w:rsidP="0014044D">
      <w:pPr>
        <w:pStyle w:val="ListParagraph"/>
        <w:numPr>
          <w:ilvl w:val="1"/>
          <w:numId w:val="2"/>
        </w:numPr>
      </w:pPr>
      <w:r>
        <w:t xml:space="preserve">Online Ambassador Training: </w:t>
      </w:r>
      <w:r w:rsidR="009D4885">
        <w:t>All Ambassadors will be required to take training that outlines their role and topics put together by the GRC (e.g., intro to iCAP</w:t>
      </w:r>
      <w:r w:rsidR="00EE402C">
        <w:t>, green research initiatives, benefits of participation, etc.</w:t>
      </w:r>
      <w:r w:rsidR="009D4885">
        <w:t xml:space="preserve">). </w:t>
      </w:r>
    </w:p>
    <w:p w14:paraId="31EBD75E" w14:textId="6A063F22" w:rsidR="003C4CFB" w:rsidRDefault="0014044D" w:rsidP="0014044D">
      <w:pPr>
        <w:pStyle w:val="ListParagraph"/>
        <w:numPr>
          <w:ilvl w:val="1"/>
          <w:numId w:val="2"/>
        </w:numPr>
      </w:pPr>
      <w:r>
        <w:t xml:space="preserve">Green Research Awareness </w:t>
      </w:r>
      <w:r w:rsidR="009D4885">
        <w:t>Modules</w:t>
      </w:r>
      <w:r>
        <w:t>:</w:t>
      </w:r>
      <w:r w:rsidR="009D4885">
        <w:t xml:space="preserve"> </w:t>
      </w:r>
      <w:r>
        <w:t>Short videos or informational training will be created to educate and promote green practices in research. The target audience is all researchers.</w:t>
      </w:r>
      <w:r w:rsidR="009D4885">
        <w:t xml:space="preserve"> </w:t>
      </w:r>
      <w:r w:rsidR="00410B2C">
        <w:t xml:space="preserve"> </w:t>
      </w:r>
    </w:p>
    <w:p w14:paraId="0854F8EC" w14:textId="415EBFEC" w:rsidR="00284459" w:rsidRDefault="00284459" w:rsidP="00133815">
      <w:pPr>
        <w:pStyle w:val="ListParagraph"/>
        <w:numPr>
          <w:ilvl w:val="0"/>
          <w:numId w:val="2"/>
        </w:numPr>
      </w:pPr>
      <w:r>
        <w:t xml:space="preserve">Transparency: </w:t>
      </w:r>
      <w:r w:rsidR="001831B7">
        <w:t>Identify relevant data and share</w:t>
      </w:r>
      <w:r>
        <w:t xml:space="preserve"> with the research community </w:t>
      </w:r>
      <w:r w:rsidR="001831B7">
        <w:t>to encourage making green research decisions. (</w:t>
      </w:r>
      <w:r>
        <w:t>e.g., volume and cost of waste, highlight small success stories, etc.)</w:t>
      </w:r>
    </w:p>
    <w:p w14:paraId="04F01BD4" w14:textId="323D9034" w:rsidR="003C4CFB" w:rsidRDefault="003C4CFB" w:rsidP="003C4CFB">
      <w:r>
        <w:t>Behavioral lab/group specific initiatives:</w:t>
      </w:r>
    </w:p>
    <w:p w14:paraId="1C8D2B51" w14:textId="0E3FAE0E" w:rsidR="00133815" w:rsidRDefault="00133815" w:rsidP="003C4CFB">
      <w:pPr>
        <w:pStyle w:val="ListParagraph"/>
        <w:numPr>
          <w:ilvl w:val="0"/>
          <w:numId w:val="2"/>
        </w:numPr>
      </w:pPr>
      <w:r>
        <w:t xml:space="preserve">Reduce, reuse, and recycle campaign: </w:t>
      </w:r>
      <w:r w:rsidR="009D4885">
        <w:t>The GRC will p</w:t>
      </w:r>
      <w:r>
        <w:t xml:space="preserve">artner with the Zero Waste Coordinator (F&amp;S) and the Division of Research Safety to identify opportunities in research. This campaign will impact the hazardous waste streams (DRS) and the non-hazardous waste streams (F&amp;S, Zero Waste Coordinator). All </w:t>
      </w:r>
      <w:r w:rsidR="00284459">
        <w:t xml:space="preserve">waste streams are a significant cost to the University. </w:t>
      </w:r>
      <w:r>
        <w:t xml:space="preserve"> </w:t>
      </w:r>
      <w:r w:rsidR="009D4885">
        <w:t>This campaign will focus on opportunities to divert waste streams to reuse or recycle, as well as limiting over purchasing</w:t>
      </w:r>
      <w:r w:rsidR="2490402D">
        <w:t xml:space="preserve"> and encouraging sharing among labs</w:t>
      </w:r>
      <w:r w:rsidR="009D4885">
        <w:t xml:space="preserve">. </w:t>
      </w:r>
      <w:r w:rsidR="003C7E28">
        <w:t xml:space="preserve">The GRC and Zero Waste Coordinator should </w:t>
      </w:r>
      <w:r w:rsidR="00E0757A">
        <w:t>evaluate opportunities to partner</w:t>
      </w:r>
      <w:r w:rsidR="00987DAF">
        <w:t xml:space="preserve"> with recycling vendors that provide a revenue stream and to identify Principal Investigators that have a need for waste stream materials in their existing research</w:t>
      </w:r>
      <w:r w:rsidR="00E0757A">
        <w:t xml:space="preserve"> programs</w:t>
      </w:r>
      <w:r w:rsidR="00987DAF">
        <w:t>.</w:t>
      </w:r>
      <w:r w:rsidR="00EE402C">
        <w:t xml:space="preserve"> The GRC should also partner with the Zero Waste Coordinator and Purchasing to promote green research products by highlighting or listing first sustainable products in iBuy, sending out promotional information on sustainable alternatives for frequently used non-sustainable products, and </w:t>
      </w:r>
      <w:r w:rsidR="00EB2B6D">
        <w:t>pressuring vendors to offer products that meet sustainable conditions.</w:t>
      </w:r>
    </w:p>
    <w:p w14:paraId="50A4EF0F" w14:textId="52C44B87" w:rsidR="00284459" w:rsidRDefault="00942398" w:rsidP="003C4CFB">
      <w:pPr>
        <w:pStyle w:val="ListParagraph"/>
        <w:numPr>
          <w:ilvl w:val="0"/>
          <w:numId w:val="2"/>
        </w:numPr>
      </w:pPr>
      <w:r>
        <w:t xml:space="preserve">Shut </w:t>
      </w:r>
      <w:r w:rsidR="00284459">
        <w:t xml:space="preserve">the sash, </w:t>
      </w:r>
      <w:r>
        <w:t xml:space="preserve">equipment </w:t>
      </w:r>
      <w:r w:rsidR="00284459">
        <w:t xml:space="preserve">timers, or other changes researchers can do to make </w:t>
      </w:r>
      <w:proofErr w:type="gramStart"/>
      <w:r w:rsidR="00284459">
        <w:t>a  difference</w:t>
      </w:r>
      <w:proofErr w:type="gramEnd"/>
      <w:r w:rsidR="00284459">
        <w:t>.</w:t>
      </w:r>
    </w:p>
    <w:p w14:paraId="3ED5614B" w14:textId="7BBB40A1" w:rsidR="00215E7D" w:rsidRPr="003C7E28" w:rsidRDefault="00133815" w:rsidP="00215E7D">
      <w:pPr>
        <w:pStyle w:val="ListParagraph"/>
        <w:numPr>
          <w:ilvl w:val="0"/>
          <w:numId w:val="2"/>
        </w:numPr>
      </w:pPr>
      <w:r w:rsidRPr="003C7E28">
        <w:t>Promote My Green Labs assessment too</w:t>
      </w:r>
      <w:r w:rsidR="00BE31F1" w:rsidRPr="003C7E28">
        <w:t>l, existing resources, or similar tools developed by the GRC</w:t>
      </w:r>
      <w:r w:rsidRPr="003C7E28">
        <w:t xml:space="preserve">. Identify the resources that make the most impact or can be easily adopted by researchers </w:t>
      </w:r>
      <w:r w:rsidR="002C042C" w:rsidRPr="003C7E28">
        <w:t xml:space="preserve">in the early stages of green research. </w:t>
      </w:r>
      <w:r w:rsidRPr="003C7E28">
        <w:t xml:space="preserve"> </w:t>
      </w:r>
    </w:p>
    <w:p w14:paraId="12C44978" w14:textId="77777777" w:rsidR="00215E7D" w:rsidRDefault="00215E7D" w:rsidP="00215E7D">
      <w:pPr>
        <w:pStyle w:val="ListParagraph"/>
        <w:rPr>
          <w:highlight w:val="yellow"/>
        </w:rPr>
      </w:pPr>
    </w:p>
    <w:p w14:paraId="4D0A5F4B" w14:textId="743C88F4" w:rsidR="00215E7D" w:rsidRDefault="00215E7D" w:rsidP="00215E7D">
      <w:r>
        <w:t>Behavioral lab/group specific</w:t>
      </w:r>
      <w:r w:rsidR="00586C6C">
        <w:t xml:space="preserve"> </w:t>
      </w:r>
      <w:r w:rsidR="00EB2B6D">
        <w:t>changes are achievable through educational campaigns led by the GRC</w:t>
      </w:r>
      <w:r>
        <w:t xml:space="preserve">. </w:t>
      </w:r>
      <w:r w:rsidR="001831B7">
        <w:t>E</w:t>
      </w:r>
      <w:r>
        <w:t xml:space="preserve">fforts should be made to explain the importance of the initiative and provide each participating group with the means, to the extent feasible, to successfully implement </w:t>
      </w:r>
      <w:r w:rsidR="00EB2B6D">
        <w:t xml:space="preserve">by minimizing barriers to implementation </w:t>
      </w:r>
      <w:r>
        <w:t xml:space="preserve">(e.g., delivery </w:t>
      </w:r>
      <w:r w:rsidR="00EB2B6D">
        <w:t xml:space="preserve">of </w:t>
      </w:r>
      <w:r>
        <w:t>proper containers for recycling to lab, provide and install shut the sash stickers, review assessment tool with research group personnel to identify activities that can be readily implemented).</w:t>
      </w:r>
    </w:p>
    <w:p w14:paraId="238BF2D0" w14:textId="21528157" w:rsidR="00BB63E3" w:rsidRDefault="00BB63E3" w:rsidP="00BB63E3">
      <w:r>
        <w:t xml:space="preserve">All </w:t>
      </w:r>
      <w:r w:rsidR="00DE54E8">
        <w:t xml:space="preserve">educational materials, </w:t>
      </w:r>
      <w:r>
        <w:t>initiatives</w:t>
      </w:r>
      <w:r w:rsidR="00553637">
        <w:t>,</w:t>
      </w:r>
      <w:r w:rsidR="00586C6C">
        <w:t xml:space="preserve"> </w:t>
      </w:r>
      <w:r>
        <w:t>pilot programs</w:t>
      </w:r>
      <w:r w:rsidR="00553637">
        <w:t>, and metrics</w:t>
      </w:r>
      <w:r>
        <w:t xml:space="preserve"> should go through a formal review process that provides input from</w:t>
      </w:r>
      <w:r w:rsidR="008364C3">
        <w:t xml:space="preserve"> as advisory b</w:t>
      </w:r>
      <w:r w:rsidR="00D21D11">
        <w:t>oar</w:t>
      </w:r>
      <w:r w:rsidR="008364C3">
        <w:t xml:space="preserve">d comprised of </w:t>
      </w:r>
      <w:r>
        <w:t>DRS, Safety &amp; Compliance</w:t>
      </w:r>
      <w:r w:rsidR="00EF3BBF">
        <w:t xml:space="preserve"> (S&amp;C)</w:t>
      </w:r>
      <w:r>
        <w:t>, Code Compliance &amp; Fire Safety</w:t>
      </w:r>
      <w:r w:rsidR="00EF3BBF">
        <w:t xml:space="preserve"> (F&amp;S)</w:t>
      </w:r>
      <w:r>
        <w:t>, F&amp;S Sustainability</w:t>
      </w:r>
      <w:r w:rsidR="008364C3">
        <w:t>, and</w:t>
      </w:r>
      <w:r w:rsidR="0FC4B2BC">
        <w:t xml:space="preserve"> </w:t>
      </w:r>
      <w:r w:rsidR="2CEFA4F6">
        <w:t xml:space="preserve">researchers from a variety of academic units. </w:t>
      </w:r>
      <w:r w:rsidR="00EB2B6D">
        <w:t>The GRC and advisory board should meet at least semi-annually or more often as determined by the needs of the GRC.</w:t>
      </w:r>
    </w:p>
    <w:p w14:paraId="3C8BB9D9" w14:textId="77777777" w:rsidR="001831B7" w:rsidRPr="00CA6F2E" w:rsidRDefault="001831B7" w:rsidP="00D113E6">
      <w:pPr>
        <w:rPr>
          <w:u w:val="single"/>
        </w:rPr>
      </w:pPr>
      <w:r w:rsidRPr="00CA6F2E">
        <w:rPr>
          <w:u w:val="single"/>
        </w:rPr>
        <w:t>Green Research Program: Recognition</w:t>
      </w:r>
    </w:p>
    <w:p w14:paraId="4C116057" w14:textId="39C458B4" w:rsidR="00D113E6" w:rsidRDefault="00D113E6" w:rsidP="00D113E6">
      <w:r>
        <w:t>Certification</w:t>
      </w:r>
    </w:p>
    <w:p w14:paraId="1AB5A587" w14:textId="4E4AC92F" w:rsidR="00D113E6" w:rsidRDefault="00D113E6" w:rsidP="00D113E6">
      <w:r>
        <w:t xml:space="preserve">Certification was reviewed and discussed. The committee believes that certification should be a long-term goal with the GRC determining the best approach based on discussions with </w:t>
      </w:r>
      <w:r w:rsidR="003004BC">
        <w:t>Ambassadors</w:t>
      </w:r>
      <w:r>
        <w:t>, faculty, campus safety offices, F&amp;S and other partners.</w:t>
      </w:r>
    </w:p>
    <w:p w14:paraId="3F0F9D08" w14:textId="61282590" w:rsidR="00BE31F1" w:rsidRPr="001831B7" w:rsidRDefault="00BE31F1" w:rsidP="00BE31F1">
      <w:r w:rsidRPr="001831B7">
        <w:t>Incentives</w:t>
      </w:r>
    </w:p>
    <w:p w14:paraId="1C598ED7" w14:textId="266F8EE1" w:rsidR="00BE31F1" w:rsidRDefault="00BE31F1" w:rsidP="00BE31F1">
      <w:r>
        <w:t xml:space="preserve">It is recommended that leadership support incentives </w:t>
      </w:r>
      <w:r w:rsidR="4133469E">
        <w:t xml:space="preserve">for </w:t>
      </w:r>
      <w:r>
        <w:t xml:space="preserve">this </w:t>
      </w:r>
      <w:proofErr w:type="gramStart"/>
      <w:r>
        <w:t>program to</w:t>
      </w:r>
      <w:proofErr w:type="gramEnd"/>
      <w:r>
        <w:t xml:space="preserve"> encourage more participation. </w:t>
      </w:r>
      <w:r w:rsidRPr="53E500E8">
        <w:rPr>
          <w:b/>
          <w:bCs/>
        </w:rPr>
        <w:t>Recognition of Ambassadors and labs that achieve excellence</w:t>
      </w:r>
      <w:r>
        <w:t xml:space="preserve"> in the program is one way to encourage participation. This can be a public display of appreciation through massmail or similar messaging that draws attention to the importance of moving toward more sustainable research.</w:t>
      </w:r>
      <w:r w:rsidR="003004BC">
        <w:t xml:space="preserve"> Monetary awards should be considered for research groups that implement strategies or invest in sustainable initiatives that lead to cost savings, revenue generation, or lead to significant progress towards iCAP goals. </w:t>
      </w:r>
      <w:r>
        <w:t xml:space="preserve"> </w:t>
      </w:r>
      <w:r w:rsidR="00297F53">
        <w:t xml:space="preserve"> </w:t>
      </w:r>
    </w:p>
    <w:p w14:paraId="088948F2" w14:textId="77777777" w:rsidR="009F1F7E" w:rsidRDefault="009F1F7E" w:rsidP="00BE31F1">
      <w:pPr>
        <w:sectPr w:rsidR="009F1F7E">
          <w:headerReference w:type="default" r:id="rId11"/>
          <w:footerReference w:type="default" r:id="rId12"/>
          <w:pgSz w:w="12240" w:h="15840"/>
          <w:pgMar w:top="1440" w:right="1440" w:bottom="1440" w:left="1440" w:header="720" w:footer="720" w:gutter="0"/>
          <w:cols w:space="720"/>
          <w:docGrid w:linePitch="360"/>
        </w:sectPr>
      </w:pPr>
    </w:p>
    <w:p w14:paraId="3E987553" w14:textId="3D08C2B3" w:rsidR="007D37F3" w:rsidRPr="007D37F3" w:rsidRDefault="007D37F3" w:rsidP="00CA6F2E">
      <w:pPr>
        <w:spacing w:after="0" w:line="240" w:lineRule="auto"/>
        <w:rPr>
          <w:b/>
          <w:bCs/>
        </w:rPr>
      </w:pPr>
      <w:r w:rsidRPr="007D37F3">
        <w:rPr>
          <w:b/>
          <w:bCs/>
        </w:rPr>
        <w:lastRenderedPageBreak/>
        <w:t>Part 2: Building-Specific Plans</w:t>
      </w:r>
    </w:p>
    <w:p w14:paraId="7CB5AA44" w14:textId="77777777" w:rsidR="007D37F3" w:rsidRDefault="007D37F3" w:rsidP="00CA6F2E">
      <w:pPr>
        <w:spacing w:after="0" w:line="240" w:lineRule="auto"/>
      </w:pPr>
    </w:p>
    <w:p w14:paraId="5A66F71F" w14:textId="37727FAA" w:rsidR="00CA6F2E" w:rsidRDefault="00CA6F2E" w:rsidP="00CA6F2E">
      <w:pPr>
        <w:spacing w:after="0" w:line="240" w:lineRule="auto"/>
      </w:pPr>
      <w:r>
        <w:t xml:space="preserve">The Green Research Committee (Committee) was formed to provide recommendations for </w:t>
      </w:r>
      <w:r w:rsidRPr="00170843">
        <w:rPr>
          <w:i/>
          <w:iCs/>
        </w:rPr>
        <w:t>Green Research Activities</w:t>
      </w:r>
      <w:r>
        <w:t xml:space="preserve"> that will contribute significantly to the achievement of Illinois’ iCAP goals and the University’s commitment to sustainability. The following are recommendations resulting from the research, conversations, and ideas of the Green Research Committee members in response to the Committee’s third charge. </w:t>
      </w:r>
    </w:p>
    <w:p w14:paraId="53FCAC26" w14:textId="77777777" w:rsidR="00CA6F2E" w:rsidRDefault="00CA6F2E" w:rsidP="00CA6F2E">
      <w:pPr>
        <w:spacing w:after="0" w:line="240" w:lineRule="auto"/>
      </w:pPr>
    </w:p>
    <w:p w14:paraId="5A1A59FC" w14:textId="2E1A656A" w:rsidR="00CA6F2E" w:rsidRDefault="00CA6F2E" w:rsidP="00CA6F2E">
      <w:pPr>
        <w:spacing w:after="0" w:line="240" w:lineRule="auto"/>
        <w:rPr>
          <w:rFonts w:eastAsia="Times New Roman"/>
        </w:rPr>
      </w:pPr>
      <w:r>
        <w:t>The third charge asked the Committee</w:t>
      </w:r>
      <w:r w:rsidR="00FD309B">
        <w:t xml:space="preserve"> to </w:t>
      </w:r>
      <w:r>
        <w:t>outline</w:t>
      </w:r>
      <w:r w:rsidR="00FD309B">
        <w:t xml:space="preserve"> a framework </w:t>
      </w:r>
      <w:r>
        <w:t>to recommend</w:t>
      </w:r>
      <w:r w:rsidR="00FD309B">
        <w:t xml:space="preserve"> building-specific plans for safe energy conservation in research spaces. </w:t>
      </w:r>
      <w:r w:rsidR="007B7CF8">
        <w:t xml:space="preserve">There are two processes that need to be evaluated: </w:t>
      </w:r>
      <w:r w:rsidR="00410B2C">
        <w:t xml:space="preserve">1) </w:t>
      </w:r>
      <w:r w:rsidR="007B7CF8">
        <w:t xml:space="preserve">Hibernation/off-boarding of research spaces and </w:t>
      </w:r>
      <w:r w:rsidR="00410B2C">
        <w:t>2) prioritization</w:t>
      </w:r>
      <w:r w:rsidR="007B7CF8">
        <w:t xml:space="preserve"> of </w:t>
      </w:r>
      <w:r w:rsidR="00410B2C">
        <w:t>remodeling/renovation projects.</w:t>
      </w:r>
      <w:r w:rsidR="00410B2C" w:rsidRPr="00410B2C">
        <w:rPr>
          <w:b/>
          <w:bCs/>
        </w:rPr>
        <w:t xml:space="preserve"> </w:t>
      </w:r>
      <w:r w:rsidR="00410B2C">
        <w:rPr>
          <w:b/>
          <w:bCs/>
        </w:rPr>
        <w:t xml:space="preserve"> We recommend </w:t>
      </w:r>
      <w:r w:rsidR="00284459">
        <w:rPr>
          <w:b/>
          <w:bCs/>
        </w:rPr>
        <w:t xml:space="preserve">two task forces </w:t>
      </w:r>
      <w:r w:rsidR="00410B2C" w:rsidRPr="00FD309B">
        <w:rPr>
          <w:b/>
          <w:bCs/>
        </w:rPr>
        <w:t xml:space="preserve">be </w:t>
      </w:r>
      <w:r w:rsidR="00410B2C">
        <w:rPr>
          <w:b/>
          <w:bCs/>
        </w:rPr>
        <w:t xml:space="preserve">formed </w:t>
      </w:r>
      <w:r w:rsidR="00410B2C">
        <w:t xml:space="preserve">to </w:t>
      </w:r>
      <w:r w:rsidR="00284459">
        <w:t>establish a required process to address both</w:t>
      </w:r>
      <w:r w:rsidR="00EF3BBF">
        <w:t xml:space="preserve"> with the GRC chairing both task forces. Task forces should include representatives from DRS, S&amp;S, CC&amp;FS, F&amp;S, college and departmental leadership and facilities personnel, and </w:t>
      </w:r>
      <w:r w:rsidR="0034739E">
        <w:t>Principal</w:t>
      </w:r>
      <w:r w:rsidR="00EF3BBF">
        <w:t xml:space="preserve"> Investigators</w:t>
      </w:r>
      <w:r w:rsidR="0034739E">
        <w:t>. The GRC must take a leadership</w:t>
      </w:r>
      <w:r w:rsidR="00EF3BBF">
        <w:t xml:space="preserve"> role </w:t>
      </w:r>
      <w:r w:rsidR="0034739E">
        <w:t xml:space="preserve">in both processes to </w:t>
      </w:r>
      <w:r w:rsidR="00EF3BBF">
        <w:t xml:space="preserve">ensure </w:t>
      </w:r>
      <w:r w:rsidR="0034739E">
        <w:t xml:space="preserve">ongoing </w:t>
      </w:r>
      <w:r w:rsidR="00EF3BBF">
        <w:t xml:space="preserve">stakeholder collaboration and </w:t>
      </w:r>
      <w:r w:rsidR="0034739E">
        <w:t>consistent implementation</w:t>
      </w:r>
      <w:r w:rsidR="00DD434A">
        <w:t>.</w:t>
      </w:r>
      <w:r w:rsidR="009F1F7E">
        <w:t xml:space="preserve"> </w:t>
      </w:r>
      <w:r w:rsidR="009F1F7E" w:rsidRPr="00CA6F2E">
        <w:rPr>
          <w:rFonts w:eastAsia="Times New Roman"/>
        </w:rPr>
        <w:t xml:space="preserve">Each task force will need to identify and report on metrics that track </w:t>
      </w:r>
      <w:r w:rsidRPr="00CA6F2E">
        <w:rPr>
          <w:rFonts w:eastAsia="Times New Roman"/>
        </w:rPr>
        <w:t>work completed, outstanding w</w:t>
      </w:r>
      <w:r>
        <w:rPr>
          <w:rFonts w:eastAsia="Times New Roman"/>
        </w:rPr>
        <w:t>ork, and progress towards sustainability goals.</w:t>
      </w:r>
    </w:p>
    <w:p w14:paraId="40331E3B" w14:textId="77777777" w:rsidR="00CA6F2E" w:rsidRDefault="00CA6F2E" w:rsidP="00CA6F2E">
      <w:pPr>
        <w:spacing w:after="0" w:line="240" w:lineRule="auto"/>
      </w:pPr>
    </w:p>
    <w:p w14:paraId="62C1AE58" w14:textId="42232A4B" w:rsidR="00FD309B" w:rsidRDefault="008A75AA" w:rsidP="00685EB8">
      <w:r>
        <w:t>The first task force would be charged with creating</w:t>
      </w:r>
      <w:r w:rsidR="00FD309B">
        <w:t xml:space="preserve"> </w:t>
      </w:r>
      <w:r w:rsidR="00647D4A">
        <w:t>the required</w:t>
      </w:r>
      <w:r w:rsidR="00410B2C">
        <w:t xml:space="preserve"> process </w:t>
      </w:r>
      <w:r w:rsidR="00FD309B">
        <w:t>for off-boarding and hibernation of research spaces and equipment for research space</w:t>
      </w:r>
      <w:r w:rsidR="00FD309B" w:rsidRPr="00DD434A">
        <w:t>s.</w:t>
      </w:r>
      <w:r w:rsidR="00DD434A">
        <w:t xml:space="preserve"> Some departments existing successful processes that can be used as a baseline to identify best management practices and share lessons learned. </w:t>
      </w:r>
      <w:r w:rsidR="00FD309B" w:rsidRPr="00DD434A">
        <w:t xml:space="preserve">The </w:t>
      </w:r>
      <w:r w:rsidR="00FD309B">
        <w:t>committee recommends the following items be included in this process:</w:t>
      </w:r>
    </w:p>
    <w:p w14:paraId="4BFDA533" w14:textId="77777777" w:rsidR="00FD309B" w:rsidRPr="002028C7" w:rsidRDefault="00FD309B" w:rsidP="00FD309B">
      <w:pPr>
        <w:pStyle w:val="ListParagraph"/>
        <w:numPr>
          <w:ilvl w:val="1"/>
          <w:numId w:val="3"/>
        </w:numPr>
        <w:tabs>
          <w:tab w:val="clear" w:pos="1440"/>
        </w:tabs>
        <w:spacing w:after="0" w:line="240" w:lineRule="auto"/>
        <w:ind w:left="720"/>
        <w:contextualSpacing w:val="0"/>
        <w:rPr>
          <w:rFonts w:eastAsia="Times New Roman"/>
        </w:rPr>
      </w:pPr>
      <w:r w:rsidRPr="002028C7">
        <w:rPr>
          <w:rFonts w:eastAsia="Times New Roman"/>
        </w:rPr>
        <w:t>Date space will be vacated.</w:t>
      </w:r>
    </w:p>
    <w:p w14:paraId="5CB773C9" w14:textId="77777777" w:rsidR="00FD309B" w:rsidRPr="002028C7" w:rsidRDefault="00FD309B" w:rsidP="00FD309B">
      <w:pPr>
        <w:pStyle w:val="ListParagraph"/>
        <w:numPr>
          <w:ilvl w:val="1"/>
          <w:numId w:val="3"/>
        </w:numPr>
        <w:tabs>
          <w:tab w:val="clear" w:pos="1440"/>
        </w:tabs>
        <w:spacing w:after="0" w:line="240" w:lineRule="auto"/>
        <w:ind w:left="720"/>
        <w:contextualSpacing w:val="0"/>
        <w:rPr>
          <w:rFonts w:eastAsia="Times New Roman"/>
        </w:rPr>
      </w:pPr>
      <w:r w:rsidRPr="1E2AB2D5">
        <w:rPr>
          <w:rFonts w:eastAsia="Times New Roman"/>
        </w:rPr>
        <w:t>Description of most recent research including a list of chemicals, infectious materials, radiological materials, and any other items/materials that could still present a hazard.</w:t>
      </w:r>
    </w:p>
    <w:p w14:paraId="04E1D332" w14:textId="77777777" w:rsidR="00FD309B" w:rsidRPr="002028C7" w:rsidRDefault="00FD309B" w:rsidP="00FD309B">
      <w:pPr>
        <w:pStyle w:val="ListParagraph"/>
        <w:numPr>
          <w:ilvl w:val="1"/>
          <w:numId w:val="3"/>
        </w:numPr>
        <w:tabs>
          <w:tab w:val="clear" w:pos="1440"/>
        </w:tabs>
        <w:spacing w:after="0" w:line="240" w:lineRule="auto"/>
        <w:ind w:left="720"/>
        <w:contextualSpacing w:val="0"/>
        <w:rPr>
          <w:rFonts w:eastAsia="Times New Roman"/>
        </w:rPr>
      </w:pPr>
      <w:r w:rsidRPr="02E3B749">
        <w:rPr>
          <w:rFonts w:eastAsia="Times New Roman"/>
        </w:rPr>
        <w:t>Estimated duration space will be unoccupied.</w:t>
      </w:r>
    </w:p>
    <w:p w14:paraId="75165FF0" w14:textId="79874843" w:rsidR="00FD309B" w:rsidRPr="00BC7E13" w:rsidRDefault="00FD309B" w:rsidP="00BC7E13">
      <w:pPr>
        <w:pStyle w:val="ListParagraph"/>
        <w:numPr>
          <w:ilvl w:val="1"/>
          <w:numId w:val="3"/>
        </w:numPr>
        <w:tabs>
          <w:tab w:val="clear" w:pos="1440"/>
        </w:tabs>
        <w:spacing w:after="0" w:line="240" w:lineRule="auto"/>
        <w:ind w:left="720"/>
        <w:contextualSpacing w:val="0"/>
        <w:rPr>
          <w:rFonts w:eastAsia="Times New Roman"/>
        </w:rPr>
      </w:pPr>
      <w:r w:rsidRPr="02E3B749">
        <w:rPr>
          <w:rFonts w:eastAsia="Times New Roman"/>
        </w:rPr>
        <w:t>Anticipated future operations of the space.</w:t>
      </w:r>
    </w:p>
    <w:p w14:paraId="69D45466" w14:textId="6E7BCBDF" w:rsidR="00FD309B" w:rsidRPr="002028C7" w:rsidRDefault="00FD309B" w:rsidP="00FD309B">
      <w:pPr>
        <w:pStyle w:val="ListParagraph"/>
        <w:numPr>
          <w:ilvl w:val="1"/>
          <w:numId w:val="3"/>
        </w:numPr>
        <w:tabs>
          <w:tab w:val="clear" w:pos="1440"/>
        </w:tabs>
        <w:spacing w:after="0" w:line="240" w:lineRule="auto"/>
        <w:ind w:left="720"/>
        <w:contextualSpacing w:val="0"/>
        <w:rPr>
          <w:rFonts w:eastAsia="Times New Roman"/>
        </w:rPr>
      </w:pPr>
      <w:r w:rsidRPr="002028C7">
        <w:rPr>
          <w:rFonts w:eastAsia="Times New Roman"/>
        </w:rPr>
        <w:t>Removal of chemicals – disposal or reallocation</w:t>
      </w:r>
      <w:r w:rsidR="007B7CF8">
        <w:rPr>
          <w:rFonts w:eastAsia="Times New Roman"/>
        </w:rPr>
        <w:t>.</w:t>
      </w:r>
    </w:p>
    <w:p w14:paraId="11B6AF37" w14:textId="77777777" w:rsidR="00FD309B" w:rsidRPr="002028C7" w:rsidRDefault="00FD309B" w:rsidP="00FD309B">
      <w:pPr>
        <w:pStyle w:val="ListParagraph"/>
        <w:numPr>
          <w:ilvl w:val="1"/>
          <w:numId w:val="3"/>
        </w:numPr>
        <w:tabs>
          <w:tab w:val="clear" w:pos="1440"/>
        </w:tabs>
        <w:spacing w:after="0" w:line="240" w:lineRule="auto"/>
        <w:ind w:left="720"/>
        <w:contextualSpacing w:val="0"/>
        <w:rPr>
          <w:rFonts w:eastAsia="Times New Roman"/>
        </w:rPr>
      </w:pPr>
      <w:r w:rsidRPr="002028C7">
        <w:rPr>
          <w:rFonts w:eastAsia="Times New Roman"/>
        </w:rPr>
        <w:t>Shutdown of equipment – items 3</w:t>
      </w:r>
      <w:r>
        <w:rPr>
          <w:rFonts w:eastAsia="Times New Roman"/>
        </w:rPr>
        <w:t xml:space="preserve">, </w:t>
      </w:r>
      <w:r w:rsidRPr="002028C7">
        <w:rPr>
          <w:rFonts w:eastAsia="Times New Roman"/>
        </w:rPr>
        <w:t>4</w:t>
      </w:r>
      <w:r>
        <w:rPr>
          <w:rFonts w:eastAsia="Times New Roman"/>
        </w:rPr>
        <w:t>, and item 10 from next section</w:t>
      </w:r>
      <w:r w:rsidRPr="002028C7">
        <w:rPr>
          <w:rFonts w:eastAsia="Times New Roman"/>
        </w:rPr>
        <w:t xml:space="preserve"> will likely determine the scope.</w:t>
      </w:r>
    </w:p>
    <w:p w14:paraId="286C8283" w14:textId="1775C5A7" w:rsidR="00FD309B" w:rsidRPr="002028C7" w:rsidRDefault="00FD309B" w:rsidP="00FD309B">
      <w:pPr>
        <w:pStyle w:val="ListParagraph"/>
        <w:numPr>
          <w:ilvl w:val="1"/>
          <w:numId w:val="3"/>
        </w:numPr>
        <w:tabs>
          <w:tab w:val="clear" w:pos="1440"/>
        </w:tabs>
        <w:spacing w:after="0" w:line="240" w:lineRule="auto"/>
        <w:ind w:left="720"/>
        <w:contextualSpacing w:val="0"/>
        <w:rPr>
          <w:rFonts w:eastAsia="Times New Roman"/>
        </w:rPr>
      </w:pPr>
      <w:r w:rsidRPr="002028C7">
        <w:rPr>
          <w:rFonts w:eastAsia="Times New Roman"/>
        </w:rPr>
        <w:t>Reallocation/disposal of portable equipment, supplies, and other materials, mostly disposal initially until GR</w:t>
      </w:r>
      <w:r w:rsidR="007B7CF8">
        <w:rPr>
          <w:rFonts w:eastAsia="Times New Roman"/>
        </w:rPr>
        <w:t xml:space="preserve">C can explore lab supply surplus. </w:t>
      </w:r>
      <w:r w:rsidRPr="002028C7">
        <w:rPr>
          <w:rFonts w:eastAsia="Times New Roman"/>
        </w:rPr>
        <w:t xml:space="preserve"> </w:t>
      </w:r>
    </w:p>
    <w:p w14:paraId="687055B1" w14:textId="0DD5FB14" w:rsidR="00FD309B" w:rsidRPr="00BC7E13" w:rsidRDefault="00FD309B" w:rsidP="00685EB8">
      <w:pPr>
        <w:pStyle w:val="ListParagraph"/>
        <w:numPr>
          <w:ilvl w:val="1"/>
          <w:numId w:val="3"/>
        </w:numPr>
        <w:tabs>
          <w:tab w:val="clear" w:pos="1440"/>
        </w:tabs>
        <w:spacing w:after="0" w:line="240" w:lineRule="auto"/>
        <w:ind w:left="720"/>
        <w:contextualSpacing w:val="0"/>
        <w:rPr>
          <w:rStyle w:val="Hyperlink"/>
          <w:rFonts w:eastAsia="Times New Roman"/>
          <w:color w:val="1F497D"/>
          <w:u w:val="none"/>
        </w:rPr>
      </w:pPr>
      <w:r w:rsidRPr="002028C7">
        <w:rPr>
          <w:rFonts w:eastAsia="Times New Roman"/>
        </w:rPr>
        <w:t xml:space="preserve">Thorough </w:t>
      </w:r>
      <w:r w:rsidR="00270B27">
        <w:rPr>
          <w:rFonts w:eastAsia="Times New Roman"/>
        </w:rPr>
        <w:t>disinfection and decontamination for materials used.</w:t>
      </w:r>
    </w:p>
    <w:p w14:paraId="40962763" w14:textId="44848FDD" w:rsidR="00BC7E13" w:rsidRPr="007B7CF8" w:rsidRDefault="00BC7E13" w:rsidP="00685EB8">
      <w:pPr>
        <w:pStyle w:val="ListParagraph"/>
        <w:numPr>
          <w:ilvl w:val="1"/>
          <w:numId w:val="3"/>
        </w:numPr>
        <w:tabs>
          <w:tab w:val="clear" w:pos="1440"/>
        </w:tabs>
        <w:spacing w:after="0" w:line="240" w:lineRule="auto"/>
        <w:ind w:left="720"/>
        <w:contextualSpacing w:val="0"/>
        <w:rPr>
          <w:rFonts w:eastAsia="Times New Roman"/>
          <w:color w:val="1F497D"/>
        </w:rPr>
      </w:pPr>
      <w:r>
        <w:rPr>
          <w:rFonts w:eastAsia="Times New Roman"/>
        </w:rPr>
        <w:t>Any code/safety concerns bringing the space back into service. (Required updates or limitations due to code)</w:t>
      </w:r>
    </w:p>
    <w:p w14:paraId="776F771A" w14:textId="777EFA52" w:rsidR="007B7CF8" w:rsidRDefault="007B7CF8" w:rsidP="007B7CF8">
      <w:pPr>
        <w:spacing w:after="0" w:line="240" w:lineRule="auto"/>
        <w:rPr>
          <w:rFonts w:eastAsia="Times New Roman"/>
        </w:rPr>
      </w:pPr>
    </w:p>
    <w:p w14:paraId="5B52AF9F" w14:textId="693999B2" w:rsidR="00EF7ECE" w:rsidRDefault="008A75AA" w:rsidP="007B7CF8">
      <w:pPr>
        <w:spacing w:after="0" w:line="240" w:lineRule="auto"/>
        <w:rPr>
          <w:rFonts w:eastAsia="Times New Roman"/>
        </w:rPr>
      </w:pPr>
      <w:r>
        <w:rPr>
          <w:rFonts w:eastAsia="Times New Roman"/>
        </w:rPr>
        <w:t>The second task force would be charged with establishing a</w:t>
      </w:r>
      <w:r w:rsidR="007B7CF8">
        <w:rPr>
          <w:rFonts w:eastAsia="Times New Roman"/>
        </w:rPr>
        <w:t xml:space="preserve"> means for prioritizing remodeling/renovation projects. </w:t>
      </w:r>
      <w:r w:rsidR="00410B2C">
        <w:rPr>
          <w:rFonts w:eastAsia="Times New Roman"/>
        </w:rPr>
        <w:t xml:space="preserve">A tiered approach based on project scope, level of disrepair, </w:t>
      </w:r>
      <w:r w:rsidR="00280927">
        <w:rPr>
          <w:rFonts w:eastAsia="Times New Roman"/>
        </w:rPr>
        <w:t xml:space="preserve">non-departmental </w:t>
      </w:r>
      <w:r w:rsidR="00410B2C">
        <w:rPr>
          <w:rFonts w:eastAsia="Times New Roman"/>
        </w:rPr>
        <w:t>funding</w:t>
      </w:r>
      <w:r w:rsidR="00280927">
        <w:rPr>
          <w:rFonts w:eastAsia="Times New Roman"/>
        </w:rPr>
        <w:t xml:space="preserve"> availability, and improvement delivery methods</w:t>
      </w:r>
      <w:r w:rsidR="00410B2C">
        <w:rPr>
          <w:rFonts w:eastAsia="Times New Roman"/>
        </w:rPr>
        <w:t xml:space="preserve"> is necessary</w:t>
      </w:r>
      <w:r>
        <w:rPr>
          <w:rFonts w:eastAsia="Times New Roman"/>
        </w:rPr>
        <w:t>.</w:t>
      </w:r>
      <w:r w:rsidR="001561EC">
        <w:rPr>
          <w:rFonts w:eastAsia="Times New Roman"/>
        </w:rPr>
        <w:t xml:space="preserve"> The task force should also prepare a template for the development of Strategic Facility Plans that document</w:t>
      </w:r>
      <w:r w:rsidR="00EF7ECE">
        <w:rPr>
          <w:rFonts w:eastAsia="Times New Roman"/>
        </w:rPr>
        <w:t>:</w:t>
      </w:r>
    </w:p>
    <w:p w14:paraId="52276275" w14:textId="77777777" w:rsidR="00BF6106" w:rsidRDefault="00BF6106" w:rsidP="007B7CF8">
      <w:pPr>
        <w:spacing w:after="0" w:line="240" w:lineRule="auto"/>
        <w:rPr>
          <w:rFonts w:eastAsia="Times New Roman"/>
        </w:rPr>
      </w:pPr>
    </w:p>
    <w:p w14:paraId="3BB0EFDB" w14:textId="6A7618AA" w:rsidR="00EF7ECE" w:rsidRDefault="00EF7ECE" w:rsidP="00EF7ECE">
      <w:pPr>
        <w:pStyle w:val="ListParagraph"/>
        <w:numPr>
          <w:ilvl w:val="0"/>
          <w:numId w:val="8"/>
        </w:numPr>
        <w:spacing w:after="0" w:line="240" w:lineRule="auto"/>
        <w:rPr>
          <w:rFonts w:eastAsia="Times New Roman"/>
        </w:rPr>
      </w:pPr>
      <w:r>
        <w:rPr>
          <w:rFonts w:eastAsia="Times New Roman"/>
        </w:rPr>
        <w:t>C</w:t>
      </w:r>
      <w:r w:rsidR="001561EC" w:rsidRPr="00270B27">
        <w:rPr>
          <w:rFonts w:eastAsia="Times New Roman"/>
        </w:rPr>
        <w:t>urrent conditions</w:t>
      </w:r>
      <w:r>
        <w:rPr>
          <w:rFonts w:eastAsia="Times New Roman"/>
        </w:rPr>
        <w:t>. Note that there is an existing project underway to create Facility Condition Assessment Reports for many campus buildings.</w:t>
      </w:r>
    </w:p>
    <w:p w14:paraId="0364D303" w14:textId="4BF967FE" w:rsidR="00EF7ECE" w:rsidRDefault="00EF7ECE" w:rsidP="00EF7ECE">
      <w:pPr>
        <w:pStyle w:val="ListParagraph"/>
        <w:numPr>
          <w:ilvl w:val="0"/>
          <w:numId w:val="8"/>
        </w:numPr>
        <w:spacing w:after="0" w:line="240" w:lineRule="auto"/>
        <w:rPr>
          <w:rFonts w:eastAsia="Times New Roman"/>
        </w:rPr>
      </w:pPr>
      <w:r>
        <w:rPr>
          <w:rFonts w:eastAsia="Times New Roman"/>
        </w:rPr>
        <w:t>O</w:t>
      </w:r>
      <w:r w:rsidR="001561EC" w:rsidRPr="00270B27">
        <w:rPr>
          <w:rFonts w:eastAsia="Times New Roman"/>
        </w:rPr>
        <w:t>pportunities for sustainable improvements</w:t>
      </w:r>
      <w:r>
        <w:rPr>
          <w:rFonts w:eastAsia="Times New Roman"/>
        </w:rPr>
        <w:t>.</w:t>
      </w:r>
    </w:p>
    <w:p w14:paraId="76731529" w14:textId="77777777" w:rsidR="00EF7ECE" w:rsidRDefault="00EF7ECE" w:rsidP="00EF7ECE">
      <w:pPr>
        <w:pStyle w:val="ListParagraph"/>
        <w:numPr>
          <w:ilvl w:val="0"/>
          <w:numId w:val="8"/>
        </w:numPr>
        <w:spacing w:after="0" w:line="240" w:lineRule="auto"/>
        <w:rPr>
          <w:rFonts w:eastAsia="Times New Roman"/>
        </w:rPr>
      </w:pPr>
      <w:r>
        <w:rPr>
          <w:rFonts w:eastAsia="Times New Roman"/>
        </w:rPr>
        <w:t>E</w:t>
      </w:r>
      <w:r w:rsidR="001561EC" w:rsidRPr="00270B27">
        <w:rPr>
          <w:rFonts w:eastAsia="Times New Roman"/>
        </w:rPr>
        <w:t>stimated budgets</w:t>
      </w:r>
      <w:r>
        <w:rPr>
          <w:rFonts w:eastAsia="Times New Roman"/>
        </w:rPr>
        <w:t xml:space="preserve"> to complete improvements</w:t>
      </w:r>
      <w:r w:rsidR="001561EC" w:rsidRPr="00270B27">
        <w:rPr>
          <w:rFonts w:eastAsia="Times New Roman"/>
        </w:rPr>
        <w:t xml:space="preserve">. </w:t>
      </w:r>
    </w:p>
    <w:p w14:paraId="27311530" w14:textId="77777777" w:rsidR="00EF7ECE" w:rsidRDefault="00EF7ECE" w:rsidP="00EF7ECE">
      <w:pPr>
        <w:pStyle w:val="ListParagraph"/>
        <w:numPr>
          <w:ilvl w:val="0"/>
          <w:numId w:val="8"/>
        </w:numPr>
        <w:spacing w:after="0" w:line="240" w:lineRule="auto"/>
        <w:rPr>
          <w:rFonts w:eastAsia="Times New Roman"/>
        </w:rPr>
      </w:pPr>
      <w:r>
        <w:rPr>
          <w:rFonts w:eastAsia="Times New Roman"/>
        </w:rPr>
        <w:t>Anticipated college and departmental budget available to address improvements.</w:t>
      </w:r>
    </w:p>
    <w:p w14:paraId="78B797BC" w14:textId="081B638B" w:rsidR="00EF7ECE" w:rsidRDefault="00EF7ECE" w:rsidP="00EF7ECE">
      <w:pPr>
        <w:pStyle w:val="ListParagraph"/>
        <w:numPr>
          <w:ilvl w:val="0"/>
          <w:numId w:val="8"/>
        </w:numPr>
        <w:spacing w:after="0" w:line="240" w:lineRule="auto"/>
        <w:rPr>
          <w:rFonts w:eastAsia="Times New Roman"/>
        </w:rPr>
      </w:pPr>
      <w:r>
        <w:rPr>
          <w:rFonts w:eastAsia="Times New Roman"/>
        </w:rPr>
        <w:t>Anticipated funding available from campus and state sources.</w:t>
      </w:r>
    </w:p>
    <w:p w14:paraId="36BC48F0" w14:textId="025D1C97" w:rsidR="00EF7ECE" w:rsidRDefault="00EF7ECE" w:rsidP="00EF7ECE">
      <w:pPr>
        <w:pStyle w:val="ListParagraph"/>
        <w:numPr>
          <w:ilvl w:val="0"/>
          <w:numId w:val="8"/>
        </w:numPr>
        <w:spacing w:after="0" w:line="240" w:lineRule="auto"/>
        <w:rPr>
          <w:rFonts w:eastAsia="Times New Roman"/>
        </w:rPr>
      </w:pPr>
      <w:r>
        <w:rPr>
          <w:rFonts w:eastAsia="Times New Roman"/>
        </w:rPr>
        <w:lastRenderedPageBreak/>
        <w:t xml:space="preserve">Anticipated funding from other sources such as donors or private funding (e.g., </w:t>
      </w:r>
      <w:r w:rsidR="00BF6106">
        <w:rPr>
          <w:rFonts w:eastAsia="Times New Roman"/>
        </w:rPr>
        <w:t>Energy Performance Contracting).</w:t>
      </w:r>
    </w:p>
    <w:p w14:paraId="0C9FA076" w14:textId="573581B1" w:rsidR="00EF7ECE" w:rsidRDefault="00EF7ECE" w:rsidP="00EF7ECE">
      <w:pPr>
        <w:pStyle w:val="ListParagraph"/>
        <w:numPr>
          <w:ilvl w:val="0"/>
          <w:numId w:val="8"/>
        </w:numPr>
        <w:spacing w:after="0" w:line="240" w:lineRule="auto"/>
        <w:rPr>
          <w:rFonts w:eastAsia="Times New Roman"/>
        </w:rPr>
      </w:pPr>
      <w:r>
        <w:rPr>
          <w:rFonts w:eastAsia="Times New Roman"/>
        </w:rPr>
        <w:t xml:space="preserve">Feasible timeline to make improvements based on </w:t>
      </w:r>
      <w:r w:rsidR="00BF6106">
        <w:rPr>
          <w:rFonts w:eastAsia="Times New Roman"/>
        </w:rPr>
        <w:t>funding and anticipated project delivery method for each improvement.</w:t>
      </w:r>
    </w:p>
    <w:p w14:paraId="3EB4513F" w14:textId="77777777" w:rsidR="00BF6106" w:rsidRDefault="00BF6106" w:rsidP="00BF6106">
      <w:pPr>
        <w:spacing w:after="0" w:line="240" w:lineRule="auto"/>
        <w:ind w:left="360"/>
        <w:rPr>
          <w:rFonts w:eastAsia="Times New Roman"/>
        </w:rPr>
      </w:pPr>
    </w:p>
    <w:p w14:paraId="0E4155DE" w14:textId="568A66AE" w:rsidR="00BF6106" w:rsidRDefault="001561EC" w:rsidP="00BF6106">
      <w:pPr>
        <w:spacing w:after="0" w:line="240" w:lineRule="auto"/>
        <w:ind w:left="360"/>
        <w:rPr>
          <w:rFonts w:eastAsia="Times New Roman"/>
        </w:rPr>
      </w:pPr>
      <w:r w:rsidRPr="009F1F7E">
        <w:rPr>
          <w:rFonts w:eastAsia="Times New Roman"/>
        </w:rPr>
        <w:t xml:space="preserve">Strategic Facility Plans should be prepared collaboratively amongst the various stakeholders including </w:t>
      </w:r>
      <w:r w:rsidR="00BF6106">
        <w:rPr>
          <w:rFonts w:eastAsia="Times New Roman"/>
        </w:rPr>
        <w:t xml:space="preserve">college and </w:t>
      </w:r>
      <w:r w:rsidRPr="009F1F7E">
        <w:rPr>
          <w:rFonts w:eastAsia="Times New Roman"/>
        </w:rPr>
        <w:t>department leadership and facilities personnel, building occupants, F&amp;S, campus safety offices, and the GRC.</w:t>
      </w:r>
      <w:r w:rsidR="00280927" w:rsidRPr="009F1F7E">
        <w:rPr>
          <w:rFonts w:eastAsia="Times New Roman"/>
        </w:rPr>
        <w:t xml:space="preserve"> </w:t>
      </w:r>
      <w:r w:rsidR="003D463C">
        <w:rPr>
          <w:rFonts w:eastAsia="Times New Roman"/>
        </w:rPr>
        <w:t xml:space="preserve">Plans should be reviewed and updated at least annually to account for </w:t>
      </w:r>
      <w:r w:rsidR="00920050">
        <w:rPr>
          <w:rFonts w:eastAsia="Times New Roman"/>
        </w:rPr>
        <w:t xml:space="preserve">completed projects, inflationary pressures on project budgets, and </w:t>
      </w:r>
      <w:r w:rsidR="003D463C">
        <w:rPr>
          <w:rFonts w:eastAsia="Times New Roman"/>
        </w:rPr>
        <w:t>changes in building condition, research initiatives, and departmental priorities</w:t>
      </w:r>
      <w:r w:rsidR="00920050">
        <w:rPr>
          <w:rFonts w:eastAsia="Times New Roman"/>
        </w:rPr>
        <w:t xml:space="preserve">. </w:t>
      </w:r>
    </w:p>
    <w:p w14:paraId="5F233B81" w14:textId="77777777" w:rsidR="00BF6106" w:rsidRDefault="00BF6106" w:rsidP="00BF6106">
      <w:pPr>
        <w:spacing w:after="0" w:line="240" w:lineRule="auto"/>
        <w:ind w:left="360"/>
        <w:rPr>
          <w:rFonts w:eastAsia="Times New Roman"/>
        </w:rPr>
      </w:pPr>
    </w:p>
    <w:p w14:paraId="31C431EE" w14:textId="15122ABC" w:rsidR="00BF6106" w:rsidRDefault="00BF6106" w:rsidP="00BF6106">
      <w:pPr>
        <w:spacing w:after="0" w:line="240" w:lineRule="auto"/>
        <w:ind w:left="360"/>
        <w:rPr>
          <w:rFonts w:eastAsia="Times New Roman"/>
        </w:rPr>
      </w:pPr>
      <w:r>
        <w:rPr>
          <w:rFonts w:eastAsia="Times New Roman"/>
        </w:rPr>
        <w:t>Priority for improvements must always first address core infrastructure deficiencies, code compliance issues, and ensure the health &amp; safety of building occupants. Sustainable technologies are simply irrelevant if the core infrastructure of the building prohibits these types of updates or significantly reduces their effectiveness.</w:t>
      </w:r>
      <w:r w:rsidR="0049467E">
        <w:rPr>
          <w:rFonts w:eastAsia="Times New Roman"/>
        </w:rPr>
        <w:t xml:space="preserve"> </w:t>
      </w:r>
      <w:r w:rsidR="003D463C">
        <w:rPr>
          <w:rFonts w:eastAsia="Times New Roman"/>
        </w:rPr>
        <w:t>Improvements in facilities with infrastructure or life-safety deficiencies that do not receive capital funding, will likely need to be completed in multiple phases with goals established in the Strategic Facility Plan.</w:t>
      </w:r>
    </w:p>
    <w:p w14:paraId="62D0E5CB" w14:textId="77777777" w:rsidR="00BF6106" w:rsidRDefault="00BF6106" w:rsidP="00BF6106">
      <w:pPr>
        <w:spacing w:after="0" w:line="240" w:lineRule="auto"/>
        <w:ind w:left="360"/>
        <w:rPr>
          <w:rFonts w:eastAsia="Times New Roman"/>
        </w:rPr>
      </w:pPr>
    </w:p>
    <w:p w14:paraId="645C951D" w14:textId="77777777" w:rsidR="009F1F7E" w:rsidRDefault="003D463C" w:rsidP="00853FCC">
      <w:pPr>
        <w:spacing w:after="0" w:line="240" w:lineRule="auto"/>
        <w:ind w:left="360"/>
        <w:rPr>
          <w:rFonts w:eastAsia="Times New Roman"/>
        </w:rPr>
      </w:pPr>
      <w:r>
        <w:rPr>
          <w:rFonts w:eastAsia="Times New Roman"/>
        </w:rPr>
        <w:t>P</w:t>
      </w:r>
      <w:r w:rsidR="0049467E">
        <w:rPr>
          <w:rFonts w:eastAsia="Times New Roman"/>
        </w:rPr>
        <w:t xml:space="preserve">roject cost-sharing should occur when improvements </w:t>
      </w:r>
      <w:r w:rsidR="009F1F7E">
        <w:rPr>
          <w:rFonts w:eastAsia="Times New Roman"/>
        </w:rPr>
        <w:t>address</w:t>
      </w:r>
      <w:r w:rsidR="0049467E">
        <w:rPr>
          <w:rFonts w:eastAsia="Times New Roman"/>
        </w:rPr>
        <w:t xml:space="preserve"> departmental research infrastructure and equipment, reduce the deferred maintenance backlog, result in</w:t>
      </w:r>
      <w:r>
        <w:rPr>
          <w:rFonts w:eastAsia="Times New Roman"/>
        </w:rPr>
        <w:t xml:space="preserve"> resource conservation with cost savings, and contribute to meeting iCAP goals.</w:t>
      </w:r>
      <w:r w:rsidR="00302498">
        <w:rPr>
          <w:rFonts w:eastAsia="Times New Roman"/>
        </w:rPr>
        <w:t xml:space="preserve"> </w:t>
      </w:r>
    </w:p>
    <w:p w14:paraId="4528BB48" w14:textId="77777777" w:rsidR="00F73192" w:rsidRDefault="00F73192" w:rsidP="00853FCC">
      <w:pPr>
        <w:spacing w:after="0" w:line="240" w:lineRule="auto"/>
        <w:ind w:left="360"/>
        <w:rPr>
          <w:rFonts w:eastAsia="Times New Roman"/>
        </w:rPr>
      </w:pPr>
    </w:p>
    <w:p w14:paraId="59DF887B" w14:textId="77777777" w:rsidR="00F73192" w:rsidRDefault="00F73192" w:rsidP="00853FCC">
      <w:pPr>
        <w:spacing w:after="0" w:line="240" w:lineRule="auto"/>
        <w:ind w:left="360"/>
        <w:rPr>
          <w:rFonts w:eastAsia="Times New Roman"/>
        </w:rPr>
      </w:pPr>
    </w:p>
    <w:p w14:paraId="291521FE" w14:textId="77777777" w:rsidR="00F73192" w:rsidRDefault="00F73192" w:rsidP="00853FCC">
      <w:pPr>
        <w:spacing w:after="0" w:line="240" w:lineRule="auto"/>
        <w:ind w:left="360"/>
        <w:rPr>
          <w:rFonts w:eastAsia="Times New Roman"/>
        </w:rPr>
      </w:pPr>
    </w:p>
    <w:p w14:paraId="03462BF9" w14:textId="77777777" w:rsidR="00F73192" w:rsidRDefault="00F73192" w:rsidP="00853FCC">
      <w:pPr>
        <w:spacing w:after="0" w:line="240" w:lineRule="auto"/>
        <w:ind w:left="360"/>
        <w:rPr>
          <w:rFonts w:eastAsia="Times New Roman"/>
        </w:rPr>
      </w:pPr>
    </w:p>
    <w:p w14:paraId="5D09437B" w14:textId="77777777" w:rsidR="00F73192" w:rsidRDefault="00F73192" w:rsidP="00853FCC">
      <w:pPr>
        <w:spacing w:after="0" w:line="240" w:lineRule="auto"/>
        <w:ind w:left="360"/>
        <w:rPr>
          <w:rFonts w:eastAsia="Times New Roman"/>
        </w:rPr>
      </w:pPr>
    </w:p>
    <w:p w14:paraId="7C26AF9D" w14:textId="77777777" w:rsidR="00F73192" w:rsidRDefault="00F73192" w:rsidP="00853FCC">
      <w:pPr>
        <w:spacing w:after="0" w:line="240" w:lineRule="auto"/>
        <w:ind w:left="360"/>
        <w:rPr>
          <w:rFonts w:eastAsia="Times New Roman"/>
        </w:rPr>
      </w:pPr>
    </w:p>
    <w:p w14:paraId="7BBB6191" w14:textId="77777777" w:rsidR="00F73192" w:rsidRDefault="00F73192" w:rsidP="00853FCC">
      <w:pPr>
        <w:spacing w:after="0" w:line="240" w:lineRule="auto"/>
        <w:ind w:left="360"/>
        <w:rPr>
          <w:rFonts w:eastAsia="Times New Roman"/>
        </w:rPr>
      </w:pPr>
    </w:p>
    <w:p w14:paraId="7680EE62" w14:textId="77777777" w:rsidR="00F73192" w:rsidRDefault="00F73192" w:rsidP="00853FCC">
      <w:pPr>
        <w:spacing w:after="0" w:line="240" w:lineRule="auto"/>
        <w:ind w:left="360"/>
        <w:rPr>
          <w:rFonts w:eastAsia="Times New Roman"/>
        </w:rPr>
      </w:pPr>
    </w:p>
    <w:p w14:paraId="5CFFC356" w14:textId="68D33113" w:rsidR="00F73192" w:rsidRDefault="00F73192" w:rsidP="00853FCC">
      <w:pPr>
        <w:spacing w:after="0" w:line="240" w:lineRule="auto"/>
        <w:ind w:left="360"/>
        <w:rPr>
          <w:rFonts w:eastAsia="Times New Roman"/>
        </w:rPr>
      </w:pPr>
      <w:r>
        <w:rPr>
          <w:rFonts w:eastAsia="Times New Roman"/>
        </w:rPr>
        <w:t>Green Research Committee</w:t>
      </w:r>
      <w:r w:rsidR="00D62B11">
        <w:rPr>
          <w:rFonts w:eastAsia="Times New Roman"/>
        </w:rPr>
        <w:t>:</w:t>
      </w:r>
    </w:p>
    <w:p w14:paraId="34656FEC" w14:textId="77777777" w:rsidR="000F5C49" w:rsidRDefault="000F5C49" w:rsidP="000F5C49">
      <w:pPr>
        <w:pStyle w:val="Default"/>
      </w:pPr>
    </w:p>
    <w:p w14:paraId="7A3748C8" w14:textId="77777777" w:rsidR="000F5C49" w:rsidRDefault="000F5C49" w:rsidP="000F5C49">
      <w:pPr>
        <w:pStyle w:val="Default"/>
        <w:rPr>
          <w:sz w:val="22"/>
          <w:szCs w:val="22"/>
        </w:rPr>
      </w:pPr>
      <w:r>
        <w:rPr>
          <w:i/>
          <w:iCs/>
          <w:sz w:val="22"/>
          <w:szCs w:val="22"/>
        </w:rPr>
        <w:t xml:space="preserve">Stephanie Hess, Director, Division of Research Safety, OVCRI (co-chair) </w:t>
      </w:r>
    </w:p>
    <w:p w14:paraId="35F008E2" w14:textId="78065ABF" w:rsidR="000F5C49" w:rsidRDefault="000F5C49" w:rsidP="000F5C49">
      <w:pPr>
        <w:pStyle w:val="Default"/>
        <w:rPr>
          <w:sz w:val="22"/>
          <w:szCs w:val="22"/>
        </w:rPr>
      </w:pPr>
      <w:r>
        <w:rPr>
          <w:i/>
          <w:iCs/>
          <w:sz w:val="22"/>
          <w:szCs w:val="22"/>
        </w:rPr>
        <w:t xml:space="preserve">Jeremy Neighbors, Director, Safety &amp; Compliance, F&amp;S (co-chair) </w:t>
      </w:r>
    </w:p>
    <w:p w14:paraId="5491930D" w14:textId="1EA80999" w:rsidR="000F5C49" w:rsidRDefault="000F5C49" w:rsidP="000F5C49">
      <w:pPr>
        <w:pStyle w:val="Default"/>
        <w:rPr>
          <w:sz w:val="22"/>
          <w:szCs w:val="22"/>
        </w:rPr>
      </w:pPr>
      <w:r>
        <w:rPr>
          <w:i/>
          <w:iCs/>
          <w:sz w:val="22"/>
          <w:szCs w:val="22"/>
        </w:rPr>
        <w:t xml:space="preserve">Shari Effert-Fanta, Assistant Director for Facilities and Safety, Prairie Research Institute </w:t>
      </w:r>
    </w:p>
    <w:p w14:paraId="6FC34877" w14:textId="2F84F2A6" w:rsidR="000F5C49" w:rsidRDefault="000F5C49" w:rsidP="000F5C49">
      <w:pPr>
        <w:pStyle w:val="Default"/>
        <w:rPr>
          <w:sz w:val="22"/>
          <w:szCs w:val="22"/>
        </w:rPr>
      </w:pPr>
      <w:r>
        <w:rPr>
          <w:i/>
          <w:iCs/>
          <w:sz w:val="22"/>
          <w:szCs w:val="22"/>
        </w:rPr>
        <w:t xml:space="preserve">G. Paul Foote, Energy Efficiency &amp; Conservation Specialist, F&amp;S </w:t>
      </w:r>
    </w:p>
    <w:p w14:paraId="31BFE8E7" w14:textId="1A5D8966" w:rsidR="000F5C49" w:rsidRDefault="000F5C49" w:rsidP="000F5C49">
      <w:pPr>
        <w:pStyle w:val="Default"/>
        <w:rPr>
          <w:sz w:val="22"/>
          <w:szCs w:val="22"/>
        </w:rPr>
      </w:pPr>
      <w:r>
        <w:rPr>
          <w:i/>
          <w:iCs/>
          <w:sz w:val="22"/>
          <w:szCs w:val="22"/>
        </w:rPr>
        <w:t xml:space="preserve">Jennifer Fraterrigo, Associate Director for Campus Sustainability, </w:t>
      </w:r>
      <w:proofErr w:type="spellStart"/>
      <w:r>
        <w:rPr>
          <w:i/>
          <w:iCs/>
          <w:sz w:val="22"/>
          <w:szCs w:val="22"/>
        </w:rPr>
        <w:t>iSEE</w:t>
      </w:r>
      <w:proofErr w:type="spellEnd"/>
      <w:r>
        <w:rPr>
          <w:i/>
          <w:iCs/>
          <w:sz w:val="22"/>
          <w:szCs w:val="22"/>
        </w:rPr>
        <w:t xml:space="preserve">; and Associate Professor, Department of Natural Resources &amp; Environmental Sciences, College of ACES </w:t>
      </w:r>
    </w:p>
    <w:p w14:paraId="2A56C082" w14:textId="116CBF49" w:rsidR="000F5C49" w:rsidRDefault="000F5C49" w:rsidP="000F5C49">
      <w:pPr>
        <w:pStyle w:val="Default"/>
        <w:rPr>
          <w:sz w:val="22"/>
          <w:szCs w:val="22"/>
        </w:rPr>
      </w:pPr>
      <w:r>
        <w:rPr>
          <w:i/>
          <w:iCs/>
          <w:sz w:val="22"/>
          <w:szCs w:val="22"/>
        </w:rPr>
        <w:t xml:space="preserve">Daphne Hulse, Zero Waste Coordinator, F&amp;S </w:t>
      </w:r>
    </w:p>
    <w:p w14:paraId="5D2405DB" w14:textId="13F313F6" w:rsidR="000F5C49" w:rsidRDefault="000F5C49" w:rsidP="000F5C49">
      <w:pPr>
        <w:pStyle w:val="Default"/>
        <w:rPr>
          <w:sz w:val="22"/>
          <w:szCs w:val="22"/>
        </w:rPr>
      </w:pPr>
      <w:r>
        <w:rPr>
          <w:i/>
          <w:iCs/>
          <w:sz w:val="22"/>
          <w:szCs w:val="22"/>
        </w:rPr>
        <w:t xml:space="preserve">Maisie Kingren, Safety Engineer, Materials Research Lab, Grainger College of Engineering </w:t>
      </w:r>
    </w:p>
    <w:p w14:paraId="4A01791A" w14:textId="6F517FEF" w:rsidR="000F5C49" w:rsidRDefault="000F5C49" w:rsidP="000F5C49">
      <w:pPr>
        <w:pStyle w:val="Default"/>
        <w:rPr>
          <w:sz w:val="22"/>
          <w:szCs w:val="22"/>
        </w:rPr>
      </w:pPr>
      <w:r>
        <w:rPr>
          <w:i/>
          <w:iCs/>
          <w:sz w:val="22"/>
          <w:szCs w:val="22"/>
        </w:rPr>
        <w:t xml:space="preserve">Tim Mies, Director of Energy Farm Operations, Department of Crop Sciences, College of ACES </w:t>
      </w:r>
    </w:p>
    <w:p w14:paraId="358FAC6B" w14:textId="24A5DD2D" w:rsidR="000F5C49" w:rsidRDefault="000F5C49" w:rsidP="000F5C49">
      <w:pPr>
        <w:pStyle w:val="Default"/>
        <w:rPr>
          <w:sz w:val="22"/>
          <w:szCs w:val="22"/>
        </w:rPr>
      </w:pPr>
      <w:r>
        <w:rPr>
          <w:i/>
          <w:iCs/>
          <w:sz w:val="22"/>
          <w:szCs w:val="22"/>
        </w:rPr>
        <w:t xml:space="preserve">Lisa Moore, Associate Director of Biosecurity and Safety, College of Veterinary Medicine </w:t>
      </w:r>
    </w:p>
    <w:p w14:paraId="63D653C5" w14:textId="0A22C9D0" w:rsidR="000F5C49" w:rsidRDefault="000F5C49" w:rsidP="000F5C49">
      <w:pPr>
        <w:pStyle w:val="Default"/>
        <w:rPr>
          <w:sz w:val="22"/>
          <w:szCs w:val="22"/>
        </w:rPr>
      </w:pPr>
      <w:r>
        <w:rPr>
          <w:i/>
          <w:iCs/>
          <w:sz w:val="22"/>
          <w:szCs w:val="22"/>
        </w:rPr>
        <w:t xml:space="preserve">Chad Stevens, Director of Facilities and Safety, School of Chemical Sciences, College of LAS </w:t>
      </w:r>
    </w:p>
    <w:p w14:paraId="305890AC" w14:textId="73A4E875" w:rsidR="000F5C49" w:rsidRDefault="000F5C49" w:rsidP="000F5C49">
      <w:pPr>
        <w:pStyle w:val="Default"/>
        <w:rPr>
          <w:sz w:val="22"/>
          <w:szCs w:val="22"/>
        </w:rPr>
      </w:pPr>
      <w:r>
        <w:rPr>
          <w:i/>
          <w:iCs/>
          <w:sz w:val="22"/>
          <w:szCs w:val="22"/>
        </w:rPr>
        <w:t xml:space="preserve">Morgan White, Associate Director for Sustainability, F&amp;S </w:t>
      </w:r>
    </w:p>
    <w:p w14:paraId="50B2E3BC" w14:textId="1876BDAD" w:rsidR="000F5C49" w:rsidRDefault="000F5C49" w:rsidP="000F5C49">
      <w:pPr>
        <w:pStyle w:val="Default"/>
        <w:rPr>
          <w:sz w:val="22"/>
          <w:szCs w:val="22"/>
        </w:rPr>
      </w:pPr>
      <w:r>
        <w:rPr>
          <w:i/>
          <w:iCs/>
          <w:sz w:val="22"/>
          <w:szCs w:val="22"/>
        </w:rPr>
        <w:t xml:space="preserve">Sabrina Summers, Graduate Student, Agricultural &amp; Biological Engineering, College of ACES </w:t>
      </w:r>
    </w:p>
    <w:p w14:paraId="79D7878C" w14:textId="1E57625A" w:rsidR="000F5C49" w:rsidRDefault="000F5C49" w:rsidP="000F5C49">
      <w:pPr>
        <w:pStyle w:val="Default"/>
        <w:rPr>
          <w:sz w:val="22"/>
          <w:szCs w:val="22"/>
        </w:rPr>
      </w:pPr>
      <w:r>
        <w:rPr>
          <w:i/>
          <w:iCs/>
          <w:sz w:val="22"/>
          <w:szCs w:val="22"/>
        </w:rPr>
        <w:t xml:space="preserve">Mitchell Bryant, Graduate Student, Bioengineering, Grainger College of Engineering </w:t>
      </w:r>
    </w:p>
    <w:p w14:paraId="30E11B9F" w14:textId="1E62022C" w:rsidR="00F73192" w:rsidRDefault="00F73192" w:rsidP="00853FCC">
      <w:pPr>
        <w:spacing w:after="0" w:line="240" w:lineRule="auto"/>
        <w:ind w:left="360"/>
        <w:rPr>
          <w:rFonts w:eastAsia="Times New Roman"/>
        </w:rPr>
      </w:pPr>
    </w:p>
    <w:p w14:paraId="67CA9816" w14:textId="77777777" w:rsidR="009F1F7E" w:rsidRDefault="009F1F7E" w:rsidP="00853FCC">
      <w:pPr>
        <w:spacing w:after="0" w:line="240" w:lineRule="auto"/>
        <w:ind w:left="360"/>
        <w:rPr>
          <w:rFonts w:eastAsia="Times New Roman"/>
        </w:rPr>
      </w:pPr>
    </w:p>
    <w:sectPr w:rsidR="009F1F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5711" w14:textId="77777777" w:rsidR="001E64EC" w:rsidRDefault="001E64EC">
      <w:pPr>
        <w:spacing w:after="0" w:line="240" w:lineRule="auto"/>
      </w:pPr>
      <w:r>
        <w:separator/>
      </w:r>
    </w:p>
  </w:endnote>
  <w:endnote w:type="continuationSeparator" w:id="0">
    <w:p w14:paraId="07119246" w14:textId="77777777" w:rsidR="001E64EC" w:rsidRDefault="001E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D99BE3" w14:paraId="2A361335" w14:textId="77777777" w:rsidTr="00D21D11">
      <w:trPr>
        <w:trHeight w:val="300"/>
      </w:trPr>
      <w:tc>
        <w:tcPr>
          <w:tcW w:w="3120" w:type="dxa"/>
        </w:tcPr>
        <w:p w14:paraId="55A4863F" w14:textId="2C6F92A8" w:rsidR="59D99BE3" w:rsidRDefault="59D99BE3" w:rsidP="00D21D11">
          <w:pPr>
            <w:pStyle w:val="Header"/>
            <w:ind w:left="-115"/>
          </w:pPr>
        </w:p>
      </w:tc>
      <w:tc>
        <w:tcPr>
          <w:tcW w:w="3120" w:type="dxa"/>
        </w:tcPr>
        <w:p w14:paraId="5F5C5B8B" w14:textId="05F439D8" w:rsidR="59D99BE3" w:rsidRDefault="59D99BE3" w:rsidP="00D21D11">
          <w:pPr>
            <w:pStyle w:val="Header"/>
            <w:jc w:val="center"/>
          </w:pPr>
        </w:p>
      </w:tc>
      <w:tc>
        <w:tcPr>
          <w:tcW w:w="3120" w:type="dxa"/>
        </w:tcPr>
        <w:p w14:paraId="680E5635" w14:textId="47641FB2" w:rsidR="59D99BE3" w:rsidRDefault="59D99BE3" w:rsidP="00D21D11">
          <w:pPr>
            <w:pStyle w:val="Header"/>
            <w:ind w:right="-115"/>
            <w:jc w:val="right"/>
          </w:pPr>
        </w:p>
      </w:tc>
    </w:tr>
  </w:tbl>
  <w:p w14:paraId="195EF3D4" w14:textId="08B15F4D" w:rsidR="59D99BE3" w:rsidRDefault="59D99BE3" w:rsidP="00D21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D99BE3" w14:paraId="709DA852" w14:textId="77777777" w:rsidTr="00D21D11">
      <w:trPr>
        <w:trHeight w:val="300"/>
      </w:trPr>
      <w:tc>
        <w:tcPr>
          <w:tcW w:w="3120" w:type="dxa"/>
        </w:tcPr>
        <w:p w14:paraId="6B19BD52" w14:textId="70AF11D6" w:rsidR="59D99BE3" w:rsidRDefault="59D99BE3" w:rsidP="00D21D11">
          <w:pPr>
            <w:pStyle w:val="Header"/>
            <w:ind w:left="-115"/>
          </w:pPr>
        </w:p>
      </w:tc>
      <w:tc>
        <w:tcPr>
          <w:tcW w:w="3120" w:type="dxa"/>
        </w:tcPr>
        <w:p w14:paraId="51E680F9" w14:textId="23820A5F" w:rsidR="59D99BE3" w:rsidRDefault="59D99BE3" w:rsidP="00D21D11">
          <w:pPr>
            <w:pStyle w:val="Header"/>
            <w:jc w:val="center"/>
          </w:pPr>
        </w:p>
      </w:tc>
      <w:tc>
        <w:tcPr>
          <w:tcW w:w="3120" w:type="dxa"/>
        </w:tcPr>
        <w:p w14:paraId="301C5203" w14:textId="63395682" w:rsidR="59D99BE3" w:rsidRDefault="59D99BE3" w:rsidP="00D21D11">
          <w:pPr>
            <w:pStyle w:val="Header"/>
            <w:ind w:right="-115"/>
            <w:jc w:val="right"/>
          </w:pPr>
        </w:p>
      </w:tc>
    </w:tr>
  </w:tbl>
  <w:p w14:paraId="5024D9CC" w14:textId="39012580" w:rsidR="59D99BE3" w:rsidRDefault="59D99BE3" w:rsidP="00D21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A320" w14:textId="77777777" w:rsidR="001E64EC" w:rsidRDefault="001E64EC">
      <w:pPr>
        <w:spacing w:after="0" w:line="240" w:lineRule="auto"/>
      </w:pPr>
      <w:r>
        <w:separator/>
      </w:r>
    </w:p>
  </w:footnote>
  <w:footnote w:type="continuationSeparator" w:id="0">
    <w:p w14:paraId="4B83C6CD" w14:textId="77777777" w:rsidR="001E64EC" w:rsidRDefault="001E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0F01" w14:textId="7343CCB8" w:rsidR="00E711E3" w:rsidRDefault="00E711E3">
    <w:r>
      <w:t>Green Research Committee Recommendations</w:t>
    </w:r>
  </w:p>
  <w:tbl>
    <w:tblPr>
      <w:tblW w:w="0" w:type="auto"/>
      <w:tblLayout w:type="fixed"/>
      <w:tblLook w:val="06A0" w:firstRow="1" w:lastRow="0" w:firstColumn="1" w:lastColumn="0" w:noHBand="1" w:noVBand="1"/>
    </w:tblPr>
    <w:tblGrid>
      <w:gridCol w:w="3120"/>
      <w:gridCol w:w="3120"/>
      <w:gridCol w:w="3120"/>
    </w:tblGrid>
    <w:tr w:rsidR="59D99BE3" w14:paraId="2C086FBA" w14:textId="77777777" w:rsidTr="00D21D11">
      <w:trPr>
        <w:trHeight w:val="300"/>
      </w:trPr>
      <w:tc>
        <w:tcPr>
          <w:tcW w:w="3120" w:type="dxa"/>
        </w:tcPr>
        <w:p w14:paraId="7B3154CA" w14:textId="006BF44E" w:rsidR="59D99BE3" w:rsidRDefault="00E711E3" w:rsidP="00D21D11">
          <w:pPr>
            <w:pStyle w:val="Header"/>
            <w:ind w:left="-115"/>
          </w:pPr>
          <w:r>
            <w:t>November 7, 2023</w:t>
          </w:r>
        </w:p>
      </w:tc>
      <w:tc>
        <w:tcPr>
          <w:tcW w:w="3120" w:type="dxa"/>
        </w:tcPr>
        <w:p w14:paraId="56521E7A" w14:textId="71DC7737" w:rsidR="59D99BE3" w:rsidRDefault="59D99BE3" w:rsidP="00D21D11">
          <w:pPr>
            <w:pStyle w:val="Header"/>
            <w:jc w:val="center"/>
          </w:pPr>
        </w:p>
      </w:tc>
      <w:tc>
        <w:tcPr>
          <w:tcW w:w="3120" w:type="dxa"/>
        </w:tcPr>
        <w:p w14:paraId="58412654" w14:textId="5817C708" w:rsidR="59D99BE3" w:rsidRDefault="59D99BE3" w:rsidP="00D21D11">
          <w:pPr>
            <w:pStyle w:val="Header"/>
            <w:ind w:right="-115"/>
            <w:jc w:val="right"/>
          </w:pPr>
        </w:p>
      </w:tc>
    </w:tr>
  </w:tbl>
  <w:p w14:paraId="111A624D" w14:textId="501C065C" w:rsidR="59D99BE3" w:rsidRDefault="59D99BE3" w:rsidP="00D21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D99BE3" w14:paraId="4753AD42" w14:textId="77777777" w:rsidTr="00D21D11">
      <w:trPr>
        <w:trHeight w:val="300"/>
      </w:trPr>
      <w:tc>
        <w:tcPr>
          <w:tcW w:w="3120" w:type="dxa"/>
        </w:tcPr>
        <w:p w14:paraId="3FE4D62F" w14:textId="15063DDC" w:rsidR="59D99BE3" w:rsidRDefault="59D99BE3" w:rsidP="00D21D11">
          <w:pPr>
            <w:pStyle w:val="Header"/>
            <w:ind w:left="-115"/>
          </w:pPr>
        </w:p>
      </w:tc>
      <w:tc>
        <w:tcPr>
          <w:tcW w:w="3120" w:type="dxa"/>
        </w:tcPr>
        <w:p w14:paraId="0593AF0A" w14:textId="37648B4D" w:rsidR="59D99BE3" w:rsidRDefault="59D99BE3" w:rsidP="00D21D11">
          <w:pPr>
            <w:pStyle w:val="Header"/>
            <w:jc w:val="center"/>
          </w:pPr>
        </w:p>
      </w:tc>
      <w:tc>
        <w:tcPr>
          <w:tcW w:w="3120" w:type="dxa"/>
        </w:tcPr>
        <w:p w14:paraId="79E334DB" w14:textId="368E84D8" w:rsidR="59D99BE3" w:rsidRDefault="59D99BE3" w:rsidP="00D21D11">
          <w:pPr>
            <w:pStyle w:val="Header"/>
            <w:ind w:right="-115"/>
            <w:jc w:val="right"/>
          </w:pPr>
        </w:p>
      </w:tc>
    </w:tr>
  </w:tbl>
  <w:p w14:paraId="494F3AAE" w14:textId="6B201816" w:rsidR="59D99BE3" w:rsidRDefault="59D99BE3" w:rsidP="00D2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47"/>
    <w:multiLevelType w:val="multilevel"/>
    <w:tmpl w:val="27181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A87435"/>
    <w:multiLevelType w:val="hybridMultilevel"/>
    <w:tmpl w:val="B200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5AB2"/>
    <w:multiLevelType w:val="hybridMultilevel"/>
    <w:tmpl w:val="795AF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E3E9B"/>
    <w:multiLevelType w:val="hybridMultilevel"/>
    <w:tmpl w:val="20FEF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834D92"/>
    <w:multiLevelType w:val="hybridMultilevel"/>
    <w:tmpl w:val="45C6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B6A34"/>
    <w:multiLevelType w:val="hybridMultilevel"/>
    <w:tmpl w:val="BE148960"/>
    <w:lvl w:ilvl="0" w:tplc="04090001">
      <w:start w:val="1"/>
      <w:numFmt w:val="bullet"/>
      <w:lvlText w:val=""/>
      <w:lvlJc w:val="left"/>
      <w:pPr>
        <w:ind w:left="720" w:hanging="360"/>
      </w:pPr>
      <w:rPr>
        <w:rFonts w:ascii="Symbol" w:hAnsi="Symbol" w:hint="default"/>
      </w:rPr>
    </w:lvl>
    <w:lvl w:ilvl="1" w:tplc="B6740780">
      <w:numFmt w:val="bullet"/>
      <w:lvlText w:val="•"/>
      <w:lvlJc w:val="left"/>
      <w:pPr>
        <w:ind w:left="1440" w:hanging="360"/>
      </w:pPr>
      <w:rPr>
        <w:rFonts w:ascii="Cambria" w:eastAsiaTheme="minorHAnsi"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31737"/>
    <w:multiLevelType w:val="hybridMultilevel"/>
    <w:tmpl w:val="32008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3665A68"/>
    <w:multiLevelType w:val="hybridMultilevel"/>
    <w:tmpl w:val="387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3626F"/>
    <w:multiLevelType w:val="hybridMultilevel"/>
    <w:tmpl w:val="2E98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F28BF"/>
    <w:multiLevelType w:val="hybridMultilevel"/>
    <w:tmpl w:val="E064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30090"/>
    <w:multiLevelType w:val="hybridMultilevel"/>
    <w:tmpl w:val="91CA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75BE7"/>
    <w:multiLevelType w:val="hybridMultilevel"/>
    <w:tmpl w:val="C79A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4150">
    <w:abstractNumId w:val="1"/>
  </w:num>
  <w:num w:numId="2" w16cid:durableId="1740326362">
    <w:abstractNumId w:val="2"/>
  </w:num>
  <w:num w:numId="3" w16cid:durableId="861210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620619">
    <w:abstractNumId w:val="3"/>
  </w:num>
  <w:num w:numId="5" w16cid:durableId="1883638844">
    <w:abstractNumId w:val="11"/>
  </w:num>
  <w:num w:numId="6" w16cid:durableId="2138449853">
    <w:abstractNumId w:val="4"/>
  </w:num>
  <w:num w:numId="7" w16cid:durableId="1275600260">
    <w:abstractNumId w:val="10"/>
  </w:num>
  <w:num w:numId="8" w16cid:durableId="2040351731">
    <w:abstractNumId w:val="9"/>
  </w:num>
  <w:num w:numId="9" w16cid:durableId="1206716009">
    <w:abstractNumId w:val="6"/>
  </w:num>
  <w:num w:numId="10" w16cid:durableId="1071924000">
    <w:abstractNumId w:val="7"/>
  </w:num>
  <w:num w:numId="11" w16cid:durableId="188492514">
    <w:abstractNumId w:val="5"/>
  </w:num>
  <w:num w:numId="12" w16cid:durableId="750658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43"/>
    <w:rsid w:val="00045620"/>
    <w:rsid w:val="000772A3"/>
    <w:rsid w:val="000D2861"/>
    <w:rsid w:val="000F3A9F"/>
    <w:rsid w:val="000F5C49"/>
    <w:rsid w:val="00133815"/>
    <w:rsid w:val="0014044D"/>
    <w:rsid w:val="001561EC"/>
    <w:rsid w:val="00170843"/>
    <w:rsid w:val="001831B7"/>
    <w:rsid w:val="001E64EC"/>
    <w:rsid w:val="00215E7D"/>
    <w:rsid w:val="00224FD1"/>
    <w:rsid w:val="002254B4"/>
    <w:rsid w:val="00270B27"/>
    <w:rsid w:val="00280927"/>
    <w:rsid w:val="00284459"/>
    <w:rsid w:val="00297F53"/>
    <w:rsid w:val="002C042C"/>
    <w:rsid w:val="002D06A1"/>
    <w:rsid w:val="002E096E"/>
    <w:rsid w:val="002F3BB0"/>
    <w:rsid w:val="003004BC"/>
    <w:rsid w:val="00302498"/>
    <w:rsid w:val="0034739E"/>
    <w:rsid w:val="00382C9E"/>
    <w:rsid w:val="003C4CFB"/>
    <w:rsid w:val="003C7E28"/>
    <w:rsid w:val="003D41D8"/>
    <w:rsid w:val="003D463C"/>
    <w:rsid w:val="00410B2C"/>
    <w:rsid w:val="00422D83"/>
    <w:rsid w:val="0048484B"/>
    <w:rsid w:val="0049467E"/>
    <w:rsid w:val="00535AB2"/>
    <w:rsid w:val="00553637"/>
    <w:rsid w:val="00586C6C"/>
    <w:rsid w:val="00647D4A"/>
    <w:rsid w:val="00667260"/>
    <w:rsid w:val="00685EB8"/>
    <w:rsid w:val="00694D91"/>
    <w:rsid w:val="007B7CF8"/>
    <w:rsid w:val="007C2C52"/>
    <w:rsid w:val="007D37F3"/>
    <w:rsid w:val="007F02E8"/>
    <w:rsid w:val="007F2013"/>
    <w:rsid w:val="00810400"/>
    <w:rsid w:val="008364C3"/>
    <w:rsid w:val="00853FCC"/>
    <w:rsid w:val="008A75AA"/>
    <w:rsid w:val="00920050"/>
    <w:rsid w:val="00920902"/>
    <w:rsid w:val="00942398"/>
    <w:rsid w:val="0097355B"/>
    <w:rsid w:val="00987DAF"/>
    <w:rsid w:val="009D4885"/>
    <w:rsid w:val="009F1F7E"/>
    <w:rsid w:val="00A327FE"/>
    <w:rsid w:val="00A4219C"/>
    <w:rsid w:val="00A81A69"/>
    <w:rsid w:val="00B11AD3"/>
    <w:rsid w:val="00B23147"/>
    <w:rsid w:val="00B608A6"/>
    <w:rsid w:val="00B85DB8"/>
    <w:rsid w:val="00BB63E3"/>
    <w:rsid w:val="00BC7E13"/>
    <w:rsid w:val="00BE31F1"/>
    <w:rsid w:val="00BF6106"/>
    <w:rsid w:val="00CA6F2E"/>
    <w:rsid w:val="00CB0DA6"/>
    <w:rsid w:val="00CB3BF3"/>
    <w:rsid w:val="00CB7B9D"/>
    <w:rsid w:val="00CF6C22"/>
    <w:rsid w:val="00D113E6"/>
    <w:rsid w:val="00D21D11"/>
    <w:rsid w:val="00D62B11"/>
    <w:rsid w:val="00DC25CE"/>
    <w:rsid w:val="00DD434A"/>
    <w:rsid w:val="00DE54E8"/>
    <w:rsid w:val="00DF523B"/>
    <w:rsid w:val="00E0757A"/>
    <w:rsid w:val="00E34316"/>
    <w:rsid w:val="00E6381E"/>
    <w:rsid w:val="00E711E3"/>
    <w:rsid w:val="00EB101B"/>
    <w:rsid w:val="00EB17E7"/>
    <w:rsid w:val="00EB2B6D"/>
    <w:rsid w:val="00EE402C"/>
    <w:rsid w:val="00EF3BBF"/>
    <w:rsid w:val="00EF7ECE"/>
    <w:rsid w:val="00F444CB"/>
    <w:rsid w:val="00F73192"/>
    <w:rsid w:val="00F91BB6"/>
    <w:rsid w:val="00F9535A"/>
    <w:rsid w:val="00FB5A1D"/>
    <w:rsid w:val="00FD309B"/>
    <w:rsid w:val="01F5409E"/>
    <w:rsid w:val="05A63DD4"/>
    <w:rsid w:val="0645EC7B"/>
    <w:rsid w:val="0CC9FF43"/>
    <w:rsid w:val="0E65CFA4"/>
    <w:rsid w:val="0F7F3713"/>
    <w:rsid w:val="0FC4B2BC"/>
    <w:rsid w:val="10E9EC9A"/>
    <w:rsid w:val="14CDE17B"/>
    <w:rsid w:val="17942544"/>
    <w:rsid w:val="1878DF7F"/>
    <w:rsid w:val="1AE259D5"/>
    <w:rsid w:val="1C9AA4C6"/>
    <w:rsid w:val="1D784AF5"/>
    <w:rsid w:val="2490402D"/>
    <w:rsid w:val="2ABF3741"/>
    <w:rsid w:val="2CEFA4F6"/>
    <w:rsid w:val="327CE4B4"/>
    <w:rsid w:val="32B05D69"/>
    <w:rsid w:val="32B53FCD"/>
    <w:rsid w:val="32E8E300"/>
    <w:rsid w:val="34E6AEF6"/>
    <w:rsid w:val="3676EA15"/>
    <w:rsid w:val="38C5CA8D"/>
    <w:rsid w:val="3B657A17"/>
    <w:rsid w:val="3F27E0D3"/>
    <w:rsid w:val="4133469E"/>
    <w:rsid w:val="42A307F5"/>
    <w:rsid w:val="431C2D0E"/>
    <w:rsid w:val="464AABD1"/>
    <w:rsid w:val="4C9DA650"/>
    <w:rsid w:val="4D14EAFC"/>
    <w:rsid w:val="4E1DDA21"/>
    <w:rsid w:val="4EDAF2AB"/>
    <w:rsid w:val="51254507"/>
    <w:rsid w:val="51ED386D"/>
    <w:rsid w:val="53E500E8"/>
    <w:rsid w:val="54AF43FA"/>
    <w:rsid w:val="5529F8B7"/>
    <w:rsid w:val="560FF13B"/>
    <w:rsid w:val="56B5EF07"/>
    <w:rsid w:val="59D99BE3"/>
    <w:rsid w:val="5C2E46C5"/>
    <w:rsid w:val="6683E90A"/>
    <w:rsid w:val="67174032"/>
    <w:rsid w:val="6D7417EF"/>
    <w:rsid w:val="6E2F8766"/>
    <w:rsid w:val="73A4158B"/>
    <w:rsid w:val="77DA71A8"/>
    <w:rsid w:val="797C3AB6"/>
    <w:rsid w:val="7D580B1D"/>
    <w:rsid w:val="7E01A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0B23"/>
  <w15:chartTrackingRefBased/>
  <w15:docId w15:val="{4E54E929-3AC4-401C-95F3-82524B40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EB8"/>
    <w:pPr>
      <w:ind w:left="720"/>
      <w:contextualSpacing/>
    </w:pPr>
  </w:style>
  <w:style w:type="character" w:styleId="CommentReference">
    <w:name w:val="annotation reference"/>
    <w:basedOn w:val="DefaultParagraphFont"/>
    <w:uiPriority w:val="99"/>
    <w:semiHidden/>
    <w:unhideWhenUsed/>
    <w:rsid w:val="00DC25CE"/>
    <w:rPr>
      <w:sz w:val="16"/>
      <w:szCs w:val="16"/>
    </w:rPr>
  </w:style>
  <w:style w:type="paragraph" w:styleId="CommentText">
    <w:name w:val="annotation text"/>
    <w:basedOn w:val="Normal"/>
    <w:link w:val="CommentTextChar"/>
    <w:uiPriority w:val="99"/>
    <w:unhideWhenUsed/>
    <w:rsid w:val="00DC25CE"/>
    <w:pPr>
      <w:spacing w:line="240" w:lineRule="auto"/>
    </w:pPr>
    <w:rPr>
      <w:sz w:val="20"/>
      <w:szCs w:val="20"/>
    </w:rPr>
  </w:style>
  <w:style w:type="character" w:customStyle="1" w:styleId="CommentTextChar">
    <w:name w:val="Comment Text Char"/>
    <w:basedOn w:val="DefaultParagraphFont"/>
    <w:link w:val="CommentText"/>
    <w:uiPriority w:val="99"/>
    <w:rsid w:val="00DC25CE"/>
    <w:rPr>
      <w:sz w:val="20"/>
      <w:szCs w:val="20"/>
    </w:rPr>
  </w:style>
  <w:style w:type="paragraph" w:styleId="CommentSubject">
    <w:name w:val="annotation subject"/>
    <w:basedOn w:val="CommentText"/>
    <w:next w:val="CommentText"/>
    <w:link w:val="CommentSubjectChar"/>
    <w:uiPriority w:val="99"/>
    <w:semiHidden/>
    <w:unhideWhenUsed/>
    <w:rsid w:val="00DC25CE"/>
    <w:rPr>
      <w:b/>
      <w:bCs/>
    </w:rPr>
  </w:style>
  <w:style w:type="character" w:customStyle="1" w:styleId="CommentSubjectChar">
    <w:name w:val="Comment Subject Char"/>
    <w:basedOn w:val="CommentTextChar"/>
    <w:link w:val="CommentSubject"/>
    <w:uiPriority w:val="99"/>
    <w:semiHidden/>
    <w:rsid w:val="00DC25CE"/>
    <w:rPr>
      <w:b/>
      <w:bCs/>
      <w:sz w:val="20"/>
      <w:szCs w:val="20"/>
    </w:rPr>
  </w:style>
  <w:style w:type="character" w:styleId="Hyperlink">
    <w:name w:val="Hyperlink"/>
    <w:basedOn w:val="DefaultParagraphFont"/>
    <w:uiPriority w:val="99"/>
    <w:semiHidden/>
    <w:unhideWhenUsed/>
    <w:rsid w:val="00FD309B"/>
    <w:rPr>
      <w:color w:val="0563C1"/>
      <w:u w:val="single"/>
    </w:rPr>
  </w:style>
  <w:style w:type="paragraph" w:styleId="Revision">
    <w:name w:val="Revision"/>
    <w:hidden/>
    <w:uiPriority w:val="99"/>
    <w:semiHidden/>
    <w:rsid w:val="00535AB2"/>
    <w:pPr>
      <w:spacing w:after="0" w:line="240" w:lineRule="auto"/>
    </w:pPr>
  </w:style>
  <w:style w:type="paragraph" w:styleId="NoSpacing">
    <w:name w:val="No Spacing"/>
    <w:basedOn w:val="Normal"/>
    <w:uiPriority w:val="1"/>
    <w:qFormat/>
    <w:rsid w:val="00DE54E8"/>
    <w:pPr>
      <w:spacing w:after="0" w:line="240" w:lineRule="auto"/>
    </w:pPr>
    <w:rPr>
      <w:rFonts w:ascii="Calibri" w:hAnsi="Calibri" w:cs="Calibri"/>
      <w:kern w:val="0"/>
    </w:rPr>
  </w:style>
  <w:style w:type="character" w:styleId="FollowedHyperlink">
    <w:name w:val="FollowedHyperlink"/>
    <w:basedOn w:val="DefaultParagraphFont"/>
    <w:uiPriority w:val="99"/>
    <w:semiHidden/>
    <w:unhideWhenUsed/>
    <w:rsid w:val="00270B27"/>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0F5C49"/>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75a500-5b31-422d-adc3-5f9a7022587d">
      <Terms xmlns="http://schemas.microsoft.com/office/infopath/2007/PartnerControls"/>
    </lcf76f155ced4ddcb4097134ff3c332f>
    <TaxCatchAll xmlns="056fd036-e8f4-4933-85ce-e1f0fd0d79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89748D5670E34AB162E961C2C72FE5" ma:contentTypeVersion="10" ma:contentTypeDescription="Create a new document." ma:contentTypeScope="" ma:versionID="e5ba3a8f311473eb9ced651df98e6f27">
  <xsd:schema xmlns:xsd="http://www.w3.org/2001/XMLSchema" xmlns:xs="http://www.w3.org/2001/XMLSchema" xmlns:p="http://schemas.microsoft.com/office/2006/metadata/properties" xmlns:ns2="2c75a500-5b31-422d-adc3-5f9a7022587d" xmlns:ns3="056fd036-e8f4-4933-85ce-e1f0fd0d79f1" targetNamespace="http://schemas.microsoft.com/office/2006/metadata/properties" ma:root="true" ma:fieldsID="0aedcd0642ca8787922773ef8e00e3bb" ns2:_="" ns3:_="">
    <xsd:import namespace="2c75a500-5b31-422d-adc3-5f9a7022587d"/>
    <xsd:import namespace="056fd036-e8f4-4933-85ce-e1f0fd0d79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5a500-5b31-422d-adc3-5f9a70225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d036-e8f4-4933-85ce-e1f0fd0d79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fdbf5-20e7-48a0-ac9e-0b92453da0f3}" ma:internalName="TaxCatchAll" ma:showField="CatchAllData" ma:web="056fd036-e8f4-4933-85ce-e1f0fd0d7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AFCD9-CA01-46EA-8141-3C52085F5521}">
  <ds:schemaRefs>
    <ds:schemaRef ds:uri="http://schemas.microsoft.com/sharepoint/v3/contenttype/forms"/>
  </ds:schemaRefs>
</ds:datastoreItem>
</file>

<file path=customXml/itemProps2.xml><?xml version="1.0" encoding="utf-8"?>
<ds:datastoreItem xmlns:ds="http://schemas.openxmlformats.org/officeDocument/2006/customXml" ds:itemID="{318C9466-6F74-4CD8-BDCE-1D6AB868FC5C}">
  <ds:schemaRefs>
    <ds:schemaRef ds:uri="http://schemas.microsoft.com/office/2006/metadata/properties"/>
    <ds:schemaRef ds:uri="http://schemas.openxmlformats.org/package/2006/metadata/core-properties"/>
    <ds:schemaRef ds:uri="http://purl.org/dc/terms/"/>
    <ds:schemaRef ds:uri="056fd036-e8f4-4933-85ce-e1f0fd0d79f1"/>
    <ds:schemaRef ds:uri="http://schemas.microsoft.com/office/2006/documentManagement/types"/>
    <ds:schemaRef ds:uri="http://purl.org/dc/elements/1.1/"/>
    <ds:schemaRef ds:uri="http://schemas.microsoft.com/office/infopath/2007/PartnerControls"/>
    <ds:schemaRef ds:uri="2c75a500-5b31-422d-adc3-5f9a7022587d"/>
    <ds:schemaRef ds:uri="http://www.w3.org/XML/1998/namespace"/>
    <ds:schemaRef ds:uri="http://purl.org/dc/dcmitype/"/>
  </ds:schemaRefs>
</ds:datastoreItem>
</file>

<file path=customXml/itemProps3.xml><?xml version="1.0" encoding="utf-8"?>
<ds:datastoreItem xmlns:ds="http://schemas.openxmlformats.org/officeDocument/2006/customXml" ds:itemID="{10FDABB8-3D8D-4F52-B445-6AFC41D1209A}">
  <ds:schemaRefs>
    <ds:schemaRef ds:uri="http://schemas.openxmlformats.org/officeDocument/2006/bibliography"/>
  </ds:schemaRefs>
</ds:datastoreItem>
</file>

<file path=customXml/itemProps4.xml><?xml version="1.0" encoding="utf-8"?>
<ds:datastoreItem xmlns:ds="http://schemas.openxmlformats.org/officeDocument/2006/customXml" ds:itemID="{6F0C5A9D-6D0E-49C5-A9F1-BA830A030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5a500-5b31-422d-adc3-5f9a7022587d"/>
    <ds:schemaRef ds:uri="056fd036-e8f4-4933-85ce-e1f0fd0d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Stephanie Tumidajski</dc:creator>
  <cp:keywords/>
  <dc:description/>
  <cp:lastModifiedBy>Hess, Stephanie Tumidajski</cp:lastModifiedBy>
  <cp:revision>2</cp:revision>
  <cp:lastPrinted>2023-11-03T17:02:00Z</cp:lastPrinted>
  <dcterms:created xsi:type="dcterms:W3CDTF">2023-11-06T19:54:00Z</dcterms:created>
  <dcterms:modified xsi:type="dcterms:W3CDTF">2023-11-06T19:54:00Z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0x0101000989748D5670E34AB162E961C2C72FE5</vt:lpwstr>
  </property>
  <property fmtid="{D5CDD505-2E9C-101B-9397-08002B2CF9AE}" pid="3" name="MediaServiceImageTags">
    <vt:lpwstr/>
  </property>
</Properties>
</file>