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10A" w:rsidRPr="00F16ED0" w:rsidRDefault="00837A70" w:rsidP="00DF5E20">
      <w:pPr>
        <w:spacing w:line="480" w:lineRule="auto"/>
        <w:jc w:val="center"/>
        <w:rPr>
          <w:rFonts w:ascii="Times New Roman" w:hAnsi="Times New Roman" w:cs="Times New Roman"/>
          <w:b/>
          <w:sz w:val="28"/>
          <w:szCs w:val="28"/>
        </w:rPr>
      </w:pPr>
      <w:r w:rsidRPr="00F16ED0">
        <w:rPr>
          <w:rFonts w:ascii="Times New Roman" w:hAnsi="Times New Roman" w:cs="Times New Roman"/>
          <w:b/>
          <w:sz w:val="28"/>
          <w:szCs w:val="28"/>
        </w:rPr>
        <w:t>Sustainability Assessment of small-scale Outdoor Wood Burning Appliances</w:t>
      </w:r>
    </w:p>
    <w:p w:rsidR="00837A70" w:rsidRPr="00F16ED0" w:rsidRDefault="00837A70" w:rsidP="00DF5E20">
      <w:pPr>
        <w:spacing w:line="480" w:lineRule="auto"/>
        <w:jc w:val="center"/>
        <w:rPr>
          <w:rFonts w:ascii="Times New Roman" w:hAnsi="Times New Roman" w:cs="Times New Roman"/>
          <w:b/>
          <w:sz w:val="28"/>
          <w:szCs w:val="28"/>
        </w:rPr>
      </w:pPr>
      <w:r w:rsidRPr="00F16ED0">
        <w:rPr>
          <w:rFonts w:ascii="Times New Roman" w:hAnsi="Times New Roman" w:cs="Times New Roman"/>
          <w:b/>
          <w:sz w:val="28"/>
          <w:szCs w:val="28"/>
        </w:rPr>
        <w:t>Eric Dyer</w:t>
      </w:r>
    </w:p>
    <w:p w:rsidR="00837A70" w:rsidRPr="00F16ED0" w:rsidRDefault="00837A70" w:rsidP="00DF5E20">
      <w:pPr>
        <w:spacing w:line="480" w:lineRule="auto"/>
        <w:rPr>
          <w:rFonts w:ascii="Times New Roman" w:hAnsi="Times New Roman" w:cs="Times New Roman"/>
        </w:rPr>
      </w:pPr>
    </w:p>
    <w:p w:rsidR="00837A70" w:rsidRPr="00F16ED0" w:rsidRDefault="00837A70" w:rsidP="00DF5E20">
      <w:pPr>
        <w:pStyle w:val="ListParagraph"/>
        <w:numPr>
          <w:ilvl w:val="0"/>
          <w:numId w:val="2"/>
        </w:numPr>
        <w:spacing w:line="480" w:lineRule="auto"/>
        <w:rPr>
          <w:rFonts w:ascii="Times New Roman" w:hAnsi="Times New Roman" w:cs="Times New Roman"/>
          <w:b/>
          <w:sz w:val="24"/>
          <w:szCs w:val="24"/>
        </w:rPr>
      </w:pPr>
      <w:r w:rsidRPr="00F16ED0">
        <w:rPr>
          <w:rFonts w:ascii="Times New Roman" w:hAnsi="Times New Roman" w:cs="Times New Roman"/>
          <w:b/>
          <w:sz w:val="24"/>
          <w:szCs w:val="24"/>
        </w:rPr>
        <w:t>Introduction</w:t>
      </w:r>
    </w:p>
    <w:p w:rsidR="00837A70" w:rsidRPr="00F16ED0" w:rsidRDefault="00837A70" w:rsidP="00DF5E20">
      <w:pPr>
        <w:spacing w:line="480" w:lineRule="auto"/>
        <w:ind w:firstLine="360"/>
        <w:rPr>
          <w:rFonts w:ascii="Times New Roman" w:hAnsi="Times New Roman" w:cs="Times New Roman"/>
          <w:sz w:val="24"/>
          <w:szCs w:val="24"/>
        </w:rPr>
      </w:pPr>
      <w:r w:rsidRPr="00F16ED0">
        <w:rPr>
          <w:rFonts w:ascii="Times New Roman" w:hAnsi="Times New Roman" w:cs="Times New Roman"/>
          <w:sz w:val="24"/>
          <w:szCs w:val="24"/>
        </w:rPr>
        <w:t>Since the beginning of the Industrial Revolution, scientists have reported drastic increases in greenhouse</w:t>
      </w:r>
      <w:r w:rsidR="00B213D8" w:rsidRPr="00F16ED0">
        <w:rPr>
          <w:rFonts w:ascii="Times New Roman" w:hAnsi="Times New Roman" w:cs="Times New Roman"/>
          <w:sz w:val="24"/>
          <w:szCs w:val="24"/>
        </w:rPr>
        <w:t xml:space="preserve"> gases caused by anthropogenic emissions</w:t>
      </w:r>
      <w:r w:rsidRPr="00F16ED0">
        <w:rPr>
          <w:rFonts w:ascii="Times New Roman" w:hAnsi="Times New Roman" w:cs="Times New Roman"/>
          <w:sz w:val="24"/>
          <w:szCs w:val="24"/>
        </w:rPr>
        <w:t xml:space="preserve">.  </w:t>
      </w:r>
      <w:r w:rsidR="00B213D8" w:rsidRPr="00F16ED0">
        <w:rPr>
          <w:rFonts w:ascii="Times New Roman" w:hAnsi="Times New Roman" w:cs="Times New Roman"/>
          <w:sz w:val="24"/>
          <w:szCs w:val="24"/>
        </w:rPr>
        <w:t xml:space="preserve">In recent decades, research and policy-making has been focused on lowering emissions through the energy sector.  Biomass is a developing renewable fuel that is considered carbon neutral, or in certain cases, </w:t>
      </w:r>
      <w:proofErr w:type="gramStart"/>
      <w:r w:rsidR="00B213D8" w:rsidRPr="00F16ED0">
        <w:rPr>
          <w:rFonts w:ascii="Times New Roman" w:hAnsi="Times New Roman" w:cs="Times New Roman"/>
          <w:sz w:val="24"/>
          <w:szCs w:val="24"/>
        </w:rPr>
        <w:t>a sequestration sink</w:t>
      </w:r>
      <w:proofErr w:type="gramEnd"/>
      <w:r w:rsidR="00B213D8" w:rsidRPr="00F16ED0">
        <w:rPr>
          <w:rFonts w:ascii="Times New Roman" w:hAnsi="Times New Roman" w:cs="Times New Roman"/>
          <w:sz w:val="24"/>
          <w:szCs w:val="24"/>
        </w:rPr>
        <w:t xml:space="preserve">.  </w:t>
      </w:r>
    </w:p>
    <w:p w:rsidR="00B213D8" w:rsidRPr="00F16ED0" w:rsidRDefault="00B213D8" w:rsidP="00DF5E20">
      <w:pPr>
        <w:spacing w:line="480" w:lineRule="auto"/>
        <w:ind w:firstLine="360"/>
        <w:rPr>
          <w:rFonts w:ascii="Times New Roman" w:hAnsi="Times New Roman" w:cs="Times New Roman"/>
          <w:sz w:val="24"/>
          <w:szCs w:val="24"/>
        </w:rPr>
      </w:pPr>
      <w:r w:rsidRPr="00F16ED0">
        <w:rPr>
          <w:rFonts w:ascii="Times New Roman" w:hAnsi="Times New Roman" w:cs="Times New Roman"/>
          <w:sz w:val="24"/>
          <w:szCs w:val="24"/>
        </w:rPr>
        <w:t>In this case study, an Outdoor Wood Burning appliance was installed i</w:t>
      </w:r>
      <w:r w:rsidR="005C218C" w:rsidRPr="00F16ED0">
        <w:rPr>
          <w:rFonts w:ascii="Times New Roman" w:hAnsi="Times New Roman" w:cs="Times New Roman"/>
          <w:sz w:val="24"/>
          <w:szCs w:val="24"/>
        </w:rPr>
        <w:t xml:space="preserve">n central Illinois as a </w:t>
      </w:r>
      <w:r w:rsidR="00C406D1" w:rsidRPr="00F16ED0">
        <w:rPr>
          <w:rFonts w:ascii="Times New Roman" w:hAnsi="Times New Roman" w:cs="Times New Roman"/>
          <w:sz w:val="24"/>
          <w:szCs w:val="24"/>
        </w:rPr>
        <w:t xml:space="preserve">biomass </w:t>
      </w:r>
      <w:r w:rsidR="005C218C" w:rsidRPr="00F16ED0">
        <w:rPr>
          <w:rFonts w:ascii="Times New Roman" w:hAnsi="Times New Roman" w:cs="Times New Roman"/>
          <w:sz w:val="24"/>
          <w:szCs w:val="24"/>
        </w:rPr>
        <w:t xml:space="preserve">substitute for existing natural gas heating.  The location is owned by the University of Illinois at Urbana-Champaign and is operated under the name </w:t>
      </w:r>
      <w:proofErr w:type="spellStart"/>
      <w:r w:rsidR="005C218C" w:rsidRPr="00F16ED0">
        <w:rPr>
          <w:rFonts w:ascii="Times New Roman" w:hAnsi="Times New Roman" w:cs="Times New Roman"/>
          <w:sz w:val="24"/>
          <w:szCs w:val="24"/>
        </w:rPr>
        <w:t>Allerton</w:t>
      </w:r>
      <w:proofErr w:type="spellEnd"/>
      <w:r w:rsidR="005C218C" w:rsidRPr="00F16ED0">
        <w:rPr>
          <w:rFonts w:ascii="Times New Roman" w:hAnsi="Times New Roman" w:cs="Times New Roman"/>
          <w:sz w:val="24"/>
          <w:szCs w:val="24"/>
        </w:rPr>
        <w:t xml:space="preserve"> Park.  </w:t>
      </w:r>
      <w:proofErr w:type="spellStart"/>
      <w:r w:rsidR="005C218C" w:rsidRPr="00F16ED0">
        <w:rPr>
          <w:rFonts w:ascii="Times New Roman" w:hAnsi="Times New Roman" w:cs="Times New Roman"/>
          <w:sz w:val="24"/>
          <w:szCs w:val="24"/>
        </w:rPr>
        <w:t>Allerton</w:t>
      </w:r>
      <w:proofErr w:type="spellEnd"/>
      <w:r w:rsidR="005C218C" w:rsidRPr="00F16ED0">
        <w:rPr>
          <w:rFonts w:ascii="Times New Roman" w:hAnsi="Times New Roman" w:cs="Times New Roman"/>
          <w:sz w:val="24"/>
          <w:szCs w:val="24"/>
        </w:rPr>
        <w:t xml:space="preserve"> Park is a 1,500 acre estate with numerous woodland, riparian, and prairie areas.   </w:t>
      </w:r>
      <w:r w:rsidR="00C406D1" w:rsidRPr="00F16ED0">
        <w:rPr>
          <w:rFonts w:ascii="Times New Roman" w:hAnsi="Times New Roman" w:cs="Times New Roman"/>
          <w:sz w:val="24"/>
          <w:szCs w:val="24"/>
        </w:rPr>
        <w:t xml:space="preserve">This location was selected </w:t>
      </w:r>
      <w:r w:rsidR="005C218C" w:rsidRPr="00F16ED0">
        <w:rPr>
          <w:rFonts w:ascii="Times New Roman" w:hAnsi="Times New Roman" w:cs="Times New Roman"/>
          <w:sz w:val="24"/>
          <w:szCs w:val="24"/>
        </w:rPr>
        <w:t xml:space="preserve">by </w:t>
      </w:r>
      <w:r w:rsidR="00C406D1" w:rsidRPr="00F16ED0">
        <w:rPr>
          <w:rFonts w:ascii="Times New Roman" w:hAnsi="Times New Roman" w:cs="Times New Roman"/>
          <w:sz w:val="24"/>
          <w:szCs w:val="24"/>
        </w:rPr>
        <w:t xml:space="preserve">the </w:t>
      </w:r>
      <w:r w:rsidR="005C218C" w:rsidRPr="00F16ED0">
        <w:rPr>
          <w:rFonts w:ascii="Times New Roman" w:hAnsi="Times New Roman" w:cs="Times New Roman"/>
          <w:sz w:val="24"/>
          <w:szCs w:val="24"/>
        </w:rPr>
        <w:t>University’s Student Sustainability Committee which</w:t>
      </w:r>
      <w:r w:rsidR="00C406D1" w:rsidRPr="00F16ED0">
        <w:rPr>
          <w:rFonts w:ascii="Times New Roman" w:hAnsi="Times New Roman" w:cs="Times New Roman"/>
          <w:sz w:val="24"/>
          <w:szCs w:val="24"/>
        </w:rPr>
        <w:t xml:space="preserve"> disperses student fees </w:t>
      </w:r>
      <w:r w:rsidR="00DF5E20" w:rsidRPr="00F16ED0">
        <w:rPr>
          <w:rFonts w:ascii="Times New Roman" w:hAnsi="Times New Roman" w:cs="Times New Roman"/>
          <w:sz w:val="24"/>
          <w:szCs w:val="24"/>
        </w:rPr>
        <w:t>allocated</w:t>
      </w:r>
      <w:r w:rsidR="00C406D1" w:rsidRPr="00F16ED0">
        <w:rPr>
          <w:rFonts w:ascii="Times New Roman" w:hAnsi="Times New Roman" w:cs="Times New Roman"/>
          <w:sz w:val="24"/>
          <w:szCs w:val="24"/>
        </w:rPr>
        <w:t xml:space="preserve"> for sustainability improvements.  The visitor center and several workshops at </w:t>
      </w:r>
      <w:proofErr w:type="spellStart"/>
      <w:r w:rsidR="00C406D1" w:rsidRPr="00F16ED0">
        <w:rPr>
          <w:rFonts w:ascii="Times New Roman" w:hAnsi="Times New Roman" w:cs="Times New Roman"/>
          <w:sz w:val="24"/>
          <w:szCs w:val="24"/>
        </w:rPr>
        <w:t>Allerton</w:t>
      </w:r>
      <w:proofErr w:type="spellEnd"/>
      <w:r w:rsidR="00C406D1" w:rsidRPr="00F16ED0">
        <w:rPr>
          <w:rFonts w:ascii="Times New Roman" w:hAnsi="Times New Roman" w:cs="Times New Roman"/>
          <w:sz w:val="24"/>
          <w:szCs w:val="24"/>
        </w:rPr>
        <w:t xml:space="preserve"> Park used a 1960 boiler/heating unit that was expensive to run and produced excessive CO</w:t>
      </w:r>
      <w:r w:rsidR="00C406D1" w:rsidRPr="00F16ED0">
        <w:rPr>
          <w:rFonts w:ascii="Times New Roman" w:hAnsi="Times New Roman" w:cs="Times New Roman"/>
          <w:sz w:val="24"/>
          <w:szCs w:val="24"/>
          <w:vertAlign w:val="subscript"/>
        </w:rPr>
        <w:t>2</w:t>
      </w:r>
      <w:r w:rsidR="00C406D1" w:rsidRPr="00F16ED0">
        <w:rPr>
          <w:rFonts w:ascii="Times New Roman" w:hAnsi="Times New Roman" w:cs="Times New Roman"/>
          <w:sz w:val="24"/>
          <w:szCs w:val="24"/>
        </w:rPr>
        <w:t xml:space="preserve"> emissions.  </w:t>
      </w:r>
    </w:p>
    <w:p w:rsidR="00C406D1" w:rsidRPr="00F16ED0" w:rsidRDefault="00C406D1" w:rsidP="00DF5E20">
      <w:pPr>
        <w:spacing w:line="480" w:lineRule="auto"/>
        <w:ind w:firstLine="360"/>
        <w:rPr>
          <w:rFonts w:ascii="Times New Roman" w:hAnsi="Times New Roman" w:cs="Times New Roman"/>
          <w:sz w:val="24"/>
          <w:szCs w:val="24"/>
        </w:rPr>
      </w:pPr>
      <w:r w:rsidRPr="00F16ED0">
        <w:rPr>
          <w:rFonts w:ascii="Times New Roman" w:hAnsi="Times New Roman" w:cs="Times New Roman"/>
          <w:sz w:val="24"/>
          <w:szCs w:val="24"/>
        </w:rPr>
        <w:t xml:space="preserve">The solution in this case was to purchase and install a Central Boiler ECL2300, to supplement their existing heating units.  </w:t>
      </w:r>
      <w:r w:rsidR="0076631F" w:rsidRPr="00F16ED0">
        <w:rPr>
          <w:rFonts w:ascii="Times New Roman" w:hAnsi="Times New Roman" w:cs="Times New Roman"/>
          <w:sz w:val="24"/>
          <w:szCs w:val="24"/>
        </w:rPr>
        <w:t xml:space="preserve">The installation cost a total of $33,167.40 and uses 200 cords per year of on-site Osage </w:t>
      </w:r>
      <w:proofErr w:type="gramStart"/>
      <w:r w:rsidR="0076631F" w:rsidRPr="00F16ED0">
        <w:rPr>
          <w:rFonts w:ascii="Times New Roman" w:hAnsi="Times New Roman" w:cs="Times New Roman"/>
          <w:sz w:val="24"/>
          <w:szCs w:val="24"/>
        </w:rPr>
        <w:t>Orange</w:t>
      </w:r>
      <w:proofErr w:type="gramEnd"/>
      <w:r w:rsidR="0076631F" w:rsidRPr="00F16ED0">
        <w:rPr>
          <w:rFonts w:ascii="Times New Roman" w:hAnsi="Times New Roman" w:cs="Times New Roman"/>
          <w:sz w:val="24"/>
          <w:szCs w:val="24"/>
        </w:rPr>
        <w:t xml:space="preserve"> wood.  Analysis for this project is based on emissions</w:t>
      </w:r>
      <w:r w:rsidR="006828F8" w:rsidRPr="00F16ED0">
        <w:rPr>
          <w:rFonts w:ascii="Times New Roman" w:hAnsi="Times New Roman" w:cs="Times New Roman"/>
          <w:sz w:val="24"/>
          <w:szCs w:val="24"/>
        </w:rPr>
        <w:t xml:space="preserve"> and costs.</w:t>
      </w:r>
    </w:p>
    <w:p w:rsidR="00F16ED0" w:rsidRPr="00F16ED0" w:rsidRDefault="00F16ED0" w:rsidP="00DF5E20">
      <w:pPr>
        <w:spacing w:line="480" w:lineRule="auto"/>
        <w:ind w:firstLine="360"/>
        <w:rPr>
          <w:rFonts w:ascii="Times New Roman" w:hAnsi="Times New Roman" w:cs="Times New Roman"/>
          <w:sz w:val="24"/>
          <w:szCs w:val="24"/>
        </w:rPr>
      </w:pPr>
    </w:p>
    <w:p w:rsidR="00F16ED0" w:rsidRPr="00F16ED0" w:rsidRDefault="00F16ED0" w:rsidP="00DF5E20">
      <w:pPr>
        <w:spacing w:line="480" w:lineRule="auto"/>
        <w:ind w:firstLine="360"/>
        <w:rPr>
          <w:rFonts w:ascii="Times New Roman" w:hAnsi="Times New Roman" w:cs="Times New Roman"/>
          <w:sz w:val="24"/>
          <w:szCs w:val="24"/>
        </w:rPr>
      </w:pPr>
    </w:p>
    <w:p w:rsidR="0076631F" w:rsidRPr="00F16ED0" w:rsidRDefault="0013069B" w:rsidP="00DF5E20">
      <w:pPr>
        <w:pStyle w:val="ListParagraph"/>
        <w:numPr>
          <w:ilvl w:val="0"/>
          <w:numId w:val="2"/>
        </w:numPr>
        <w:spacing w:line="480" w:lineRule="auto"/>
        <w:rPr>
          <w:rFonts w:ascii="Times New Roman" w:hAnsi="Times New Roman" w:cs="Times New Roman"/>
          <w:b/>
          <w:sz w:val="24"/>
          <w:szCs w:val="24"/>
        </w:rPr>
      </w:pPr>
      <w:r w:rsidRPr="00F16ED0">
        <w:rPr>
          <w:rFonts w:ascii="Times New Roman" w:hAnsi="Times New Roman" w:cs="Times New Roman"/>
          <w:b/>
          <w:sz w:val="24"/>
          <w:szCs w:val="24"/>
        </w:rPr>
        <w:t>Data and Information</w:t>
      </w:r>
    </w:p>
    <w:p w:rsidR="00DF5E20" w:rsidRPr="00F16ED0" w:rsidRDefault="006C0577" w:rsidP="00F16ED0">
      <w:pPr>
        <w:spacing w:line="480" w:lineRule="auto"/>
        <w:ind w:firstLine="360"/>
        <w:rPr>
          <w:rFonts w:ascii="Times New Roman" w:hAnsi="Times New Roman" w:cs="Times New Roman"/>
          <w:sz w:val="24"/>
          <w:szCs w:val="24"/>
        </w:rPr>
      </w:pPr>
      <w:r w:rsidRPr="00F16ED0">
        <w:rPr>
          <w:rFonts w:ascii="Times New Roman" w:hAnsi="Times New Roman" w:cs="Times New Roman"/>
          <w:sz w:val="24"/>
          <w:szCs w:val="24"/>
        </w:rPr>
        <w:t>Site specific d</w:t>
      </w:r>
      <w:r w:rsidR="00DF5E20" w:rsidRPr="00F16ED0">
        <w:rPr>
          <w:rFonts w:ascii="Times New Roman" w:hAnsi="Times New Roman" w:cs="Times New Roman"/>
          <w:sz w:val="24"/>
          <w:szCs w:val="24"/>
        </w:rPr>
        <w:t>ata for this research was gathered through the application</w:t>
      </w:r>
      <w:r w:rsidR="0013069B" w:rsidRPr="00F16ED0">
        <w:rPr>
          <w:rFonts w:ascii="Times New Roman" w:hAnsi="Times New Roman" w:cs="Times New Roman"/>
          <w:sz w:val="24"/>
          <w:szCs w:val="24"/>
        </w:rPr>
        <w:t xml:space="preserve"> submitted by </w:t>
      </w:r>
      <w:proofErr w:type="spellStart"/>
      <w:r w:rsidR="0013069B" w:rsidRPr="00F16ED0">
        <w:rPr>
          <w:rFonts w:ascii="Times New Roman" w:hAnsi="Times New Roman" w:cs="Times New Roman"/>
          <w:sz w:val="24"/>
          <w:szCs w:val="24"/>
        </w:rPr>
        <w:t>Allerton</w:t>
      </w:r>
      <w:proofErr w:type="spellEnd"/>
      <w:r w:rsidR="0013069B" w:rsidRPr="00F16ED0">
        <w:rPr>
          <w:rFonts w:ascii="Times New Roman" w:hAnsi="Times New Roman" w:cs="Times New Roman"/>
          <w:sz w:val="24"/>
          <w:szCs w:val="24"/>
        </w:rPr>
        <w:t xml:space="preserve"> Park to the University of Illinois </w:t>
      </w:r>
      <w:proofErr w:type="spellStart"/>
      <w:r w:rsidR="0013069B" w:rsidRPr="00F16ED0">
        <w:rPr>
          <w:rFonts w:ascii="Times New Roman" w:hAnsi="Times New Roman" w:cs="Times New Roman"/>
          <w:sz w:val="24"/>
          <w:szCs w:val="24"/>
        </w:rPr>
        <w:t>iCAP</w:t>
      </w:r>
      <w:proofErr w:type="spellEnd"/>
      <w:r w:rsidR="0013069B" w:rsidRPr="00F16ED0">
        <w:rPr>
          <w:rFonts w:ascii="Times New Roman" w:hAnsi="Times New Roman" w:cs="Times New Roman"/>
          <w:sz w:val="24"/>
          <w:szCs w:val="24"/>
        </w:rPr>
        <w:t xml:space="preserve"> Portal</w:t>
      </w:r>
      <w:r w:rsidR="007F132A" w:rsidRPr="00F16ED0">
        <w:rPr>
          <w:rFonts w:ascii="Times New Roman" w:hAnsi="Times New Roman" w:cs="Times New Roman"/>
          <w:sz w:val="24"/>
          <w:szCs w:val="24"/>
        </w:rPr>
        <w:t xml:space="preserve"> [</w:t>
      </w:r>
      <w:r w:rsidR="0013069B" w:rsidRPr="00F16ED0">
        <w:rPr>
          <w:rFonts w:ascii="Times New Roman" w:hAnsi="Times New Roman" w:cs="Times New Roman"/>
          <w:sz w:val="24"/>
          <w:szCs w:val="24"/>
        </w:rPr>
        <w:t>3</w:t>
      </w:r>
      <w:r w:rsidR="007F132A" w:rsidRPr="00F16ED0">
        <w:rPr>
          <w:rFonts w:ascii="Times New Roman" w:hAnsi="Times New Roman" w:cs="Times New Roman"/>
          <w:sz w:val="24"/>
          <w:szCs w:val="24"/>
        </w:rPr>
        <w:t>]</w:t>
      </w:r>
      <w:r w:rsidR="0013069B" w:rsidRPr="00F16ED0">
        <w:rPr>
          <w:rFonts w:ascii="Times New Roman" w:hAnsi="Times New Roman" w:cs="Times New Roman"/>
          <w:sz w:val="24"/>
          <w:szCs w:val="24"/>
        </w:rPr>
        <w:t xml:space="preserve"> and through an interview with Derek Peterson, Director, at </w:t>
      </w:r>
      <w:proofErr w:type="spellStart"/>
      <w:r w:rsidR="0013069B" w:rsidRPr="00F16ED0">
        <w:rPr>
          <w:rFonts w:ascii="Times New Roman" w:hAnsi="Times New Roman" w:cs="Times New Roman"/>
          <w:sz w:val="24"/>
          <w:szCs w:val="24"/>
        </w:rPr>
        <w:t>Allerton</w:t>
      </w:r>
      <w:proofErr w:type="spellEnd"/>
      <w:r w:rsidR="0013069B" w:rsidRPr="00F16ED0">
        <w:rPr>
          <w:rFonts w:ascii="Times New Roman" w:hAnsi="Times New Roman" w:cs="Times New Roman"/>
          <w:sz w:val="24"/>
          <w:szCs w:val="24"/>
        </w:rPr>
        <w:t xml:space="preserve"> Park </w:t>
      </w:r>
      <w:r w:rsidR="007F132A" w:rsidRPr="00F16ED0">
        <w:rPr>
          <w:rFonts w:ascii="Times New Roman" w:hAnsi="Times New Roman" w:cs="Times New Roman"/>
          <w:sz w:val="24"/>
          <w:szCs w:val="24"/>
        </w:rPr>
        <w:t>[4]</w:t>
      </w:r>
      <w:r w:rsidR="0013069B" w:rsidRPr="00F16ED0">
        <w:rPr>
          <w:rFonts w:ascii="Times New Roman" w:hAnsi="Times New Roman" w:cs="Times New Roman"/>
          <w:sz w:val="24"/>
          <w:szCs w:val="24"/>
        </w:rPr>
        <w:t xml:space="preserve">.  </w:t>
      </w:r>
      <w:r w:rsidRPr="00F16ED0">
        <w:rPr>
          <w:rFonts w:ascii="Times New Roman" w:hAnsi="Times New Roman" w:cs="Times New Roman"/>
          <w:sz w:val="24"/>
          <w:szCs w:val="24"/>
        </w:rPr>
        <w:t xml:space="preserve">All other research was completed based on outside sources and application of standard scientific procedure. </w:t>
      </w:r>
    </w:p>
    <w:p w:rsidR="00F16ED0" w:rsidRPr="00F16ED0" w:rsidRDefault="00F16ED0" w:rsidP="00DF5E20">
      <w:pPr>
        <w:spacing w:line="480" w:lineRule="auto"/>
        <w:ind w:left="360"/>
        <w:rPr>
          <w:rFonts w:ascii="Times New Roman" w:hAnsi="Times New Roman" w:cs="Times New Roman"/>
          <w:sz w:val="24"/>
          <w:szCs w:val="24"/>
        </w:rPr>
      </w:pPr>
    </w:p>
    <w:p w:rsidR="006C0577" w:rsidRPr="00F16ED0" w:rsidRDefault="006C0577" w:rsidP="006C0577">
      <w:pPr>
        <w:pStyle w:val="ListParagraph"/>
        <w:numPr>
          <w:ilvl w:val="0"/>
          <w:numId w:val="2"/>
        </w:numPr>
        <w:spacing w:line="480" w:lineRule="auto"/>
        <w:rPr>
          <w:rFonts w:ascii="Times New Roman" w:hAnsi="Times New Roman" w:cs="Times New Roman"/>
          <w:b/>
          <w:sz w:val="24"/>
          <w:szCs w:val="24"/>
        </w:rPr>
      </w:pPr>
      <w:r w:rsidRPr="00F16ED0">
        <w:rPr>
          <w:rFonts w:ascii="Times New Roman" w:hAnsi="Times New Roman" w:cs="Times New Roman"/>
          <w:b/>
          <w:sz w:val="24"/>
          <w:szCs w:val="24"/>
        </w:rPr>
        <w:t xml:space="preserve"> Goals and Definitions</w:t>
      </w:r>
    </w:p>
    <w:p w:rsidR="00857A21" w:rsidRPr="00F16ED0" w:rsidRDefault="00857A21" w:rsidP="00857A21">
      <w:pPr>
        <w:spacing w:line="480" w:lineRule="auto"/>
        <w:ind w:firstLine="360"/>
        <w:rPr>
          <w:rFonts w:ascii="Times New Roman" w:hAnsi="Times New Roman" w:cs="Times New Roman"/>
          <w:sz w:val="24"/>
          <w:szCs w:val="24"/>
        </w:rPr>
      </w:pPr>
      <w:r w:rsidRPr="00F16ED0">
        <w:rPr>
          <w:rFonts w:ascii="Times New Roman" w:hAnsi="Times New Roman" w:cs="Times New Roman"/>
          <w:sz w:val="24"/>
          <w:szCs w:val="24"/>
        </w:rPr>
        <w:t>This wood fueled boiler project</w:t>
      </w:r>
      <w:r w:rsidR="006C0577" w:rsidRPr="00F16ED0">
        <w:rPr>
          <w:rFonts w:ascii="Times New Roman" w:hAnsi="Times New Roman" w:cs="Times New Roman"/>
          <w:sz w:val="24"/>
          <w:szCs w:val="24"/>
        </w:rPr>
        <w:t xml:space="preserve"> was submitted and selected for </w:t>
      </w:r>
      <w:proofErr w:type="spellStart"/>
      <w:r w:rsidR="006C0577" w:rsidRPr="00F16ED0">
        <w:rPr>
          <w:rFonts w:ascii="Times New Roman" w:hAnsi="Times New Roman" w:cs="Times New Roman"/>
          <w:sz w:val="24"/>
          <w:szCs w:val="24"/>
        </w:rPr>
        <w:t>All</w:t>
      </w:r>
      <w:r w:rsidRPr="00F16ED0">
        <w:rPr>
          <w:rFonts w:ascii="Times New Roman" w:hAnsi="Times New Roman" w:cs="Times New Roman"/>
          <w:sz w:val="24"/>
          <w:szCs w:val="24"/>
        </w:rPr>
        <w:t>erton</w:t>
      </w:r>
      <w:proofErr w:type="spellEnd"/>
      <w:r w:rsidRPr="00F16ED0">
        <w:rPr>
          <w:rFonts w:ascii="Times New Roman" w:hAnsi="Times New Roman" w:cs="Times New Roman"/>
          <w:sz w:val="24"/>
          <w:szCs w:val="24"/>
        </w:rPr>
        <w:t xml:space="preserve"> Park to achieve</w:t>
      </w:r>
      <w:r w:rsidR="006C0577" w:rsidRPr="00F16ED0">
        <w:rPr>
          <w:rFonts w:ascii="Times New Roman" w:hAnsi="Times New Roman" w:cs="Times New Roman"/>
          <w:sz w:val="24"/>
          <w:szCs w:val="24"/>
        </w:rPr>
        <w:t xml:space="preserve"> th</w:t>
      </w:r>
      <w:r w:rsidRPr="00F16ED0">
        <w:rPr>
          <w:rFonts w:ascii="Times New Roman" w:hAnsi="Times New Roman" w:cs="Times New Roman"/>
          <w:sz w:val="24"/>
          <w:szCs w:val="24"/>
        </w:rPr>
        <w:t>e</w:t>
      </w:r>
      <w:r w:rsidR="006C0577" w:rsidRPr="00F16ED0">
        <w:rPr>
          <w:rFonts w:ascii="Times New Roman" w:hAnsi="Times New Roman" w:cs="Times New Roman"/>
          <w:sz w:val="24"/>
          <w:szCs w:val="24"/>
        </w:rPr>
        <w:t xml:space="preserve"> goals of </w:t>
      </w:r>
      <w:r w:rsidR="006C0577" w:rsidRPr="00E70677">
        <w:rPr>
          <w:rFonts w:ascii="Times New Roman" w:hAnsi="Times New Roman" w:cs="Times New Roman"/>
          <w:sz w:val="24"/>
          <w:szCs w:val="24"/>
        </w:rPr>
        <w:t xml:space="preserve">Green </w:t>
      </w:r>
      <w:proofErr w:type="spellStart"/>
      <w:r w:rsidR="006C0577" w:rsidRPr="00E70677">
        <w:rPr>
          <w:rFonts w:ascii="Times New Roman" w:hAnsi="Times New Roman" w:cs="Times New Roman"/>
          <w:sz w:val="24"/>
          <w:szCs w:val="24"/>
        </w:rPr>
        <w:t>Allerton</w:t>
      </w:r>
      <w:proofErr w:type="spellEnd"/>
      <w:r w:rsidRPr="00E70677">
        <w:rPr>
          <w:rFonts w:ascii="Times New Roman" w:hAnsi="Times New Roman" w:cs="Times New Roman"/>
          <w:sz w:val="24"/>
          <w:szCs w:val="24"/>
        </w:rPr>
        <w:t>,</w:t>
      </w:r>
      <w:r w:rsidRPr="00F16ED0">
        <w:rPr>
          <w:rFonts w:ascii="Times New Roman" w:hAnsi="Times New Roman" w:cs="Times New Roman"/>
          <w:sz w:val="24"/>
          <w:szCs w:val="24"/>
        </w:rPr>
        <w:t xml:space="preserve"> their sustainability initiative.  Green </w:t>
      </w:r>
      <w:proofErr w:type="spellStart"/>
      <w:r w:rsidRPr="00F16ED0">
        <w:rPr>
          <w:rFonts w:ascii="Times New Roman" w:hAnsi="Times New Roman" w:cs="Times New Roman"/>
          <w:sz w:val="24"/>
          <w:szCs w:val="24"/>
        </w:rPr>
        <w:t>Allerton</w:t>
      </w:r>
      <w:proofErr w:type="spellEnd"/>
      <w:r w:rsidRPr="00F16ED0">
        <w:rPr>
          <w:rFonts w:ascii="Times New Roman" w:hAnsi="Times New Roman" w:cs="Times New Roman"/>
          <w:sz w:val="24"/>
          <w:szCs w:val="24"/>
        </w:rPr>
        <w:t xml:space="preserve"> was an initiative developed at </w:t>
      </w:r>
      <w:proofErr w:type="spellStart"/>
      <w:r w:rsidRPr="00F16ED0">
        <w:rPr>
          <w:rFonts w:ascii="Times New Roman" w:hAnsi="Times New Roman" w:cs="Times New Roman"/>
          <w:sz w:val="24"/>
          <w:szCs w:val="24"/>
        </w:rPr>
        <w:t>Allerton</w:t>
      </w:r>
      <w:proofErr w:type="spellEnd"/>
      <w:r w:rsidRPr="00F16ED0">
        <w:rPr>
          <w:rFonts w:ascii="Times New Roman" w:hAnsi="Times New Roman" w:cs="Times New Roman"/>
          <w:sz w:val="24"/>
          <w:szCs w:val="24"/>
        </w:rPr>
        <w:t xml:space="preserve"> Park to achieve 3 outcomes:  1) Develop programs for research and education with a focus on understanding of nature, landscape and sustainability. 2) Employ balanced management techniques for preservation of </w:t>
      </w:r>
      <w:proofErr w:type="spellStart"/>
      <w:r w:rsidRPr="00F16ED0">
        <w:rPr>
          <w:rFonts w:ascii="Times New Roman" w:hAnsi="Times New Roman" w:cs="Times New Roman"/>
          <w:sz w:val="24"/>
          <w:szCs w:val="24"/>
        </w:rPr>
        <w:t>Alerton’s</w:t>
      </w:r>
      <w:proofErr w:type="spellEnd"/>
      <w:r w:rsidRPr="00F16ED0">
        <w:rPr>
          <w:rFonts w:ascii="Times New Roman" w:hAnsi="Times New Roman" w:cs="Times New Roman"/>
          <w:sz w:val="24"/>
          <w:szCs w:val="24"/>
        </w:rPr>
        <w:t xml:space="preserve"> reserves. 3)  Be good stewards of a natural setting where visitors gain an understanding of their relationship to nature.  </w:t>
      </w:r>
    </w:p>
    <w:p w:rsidR="006C0577" w:rsidRPr="00F16ED0" w:rsidRDefault="00857A21" w:rsidP="006C0577">
      <w:pPr>
        <w:spacing w:line="480" w:lineRule="auto"/>
        <w:ind w:firstLine="360"/>
        <w:rPr>
          <w:rFonts w:ascii="Times New Roman" w:hAnsi="Times New Roman" w:cs="Times New Roman"/>
          <w:sz w:val="24"/>
          <w:szCs w:val="24"/>
        </w:rPr>
      </w:pPr>
      <w:r w:rsidRPr="00F16ED0">
        <w:rPr>
          <w:rFonts w:ascii="Times New Roman" w:hAnsi="Times New Roman" w:cs="Times New Roman"/>
          <w:sz w:val="24"/>
          <w:szCs w:val="24"/>
        </w:rPr>
        <w:t xml:space="preserve">In terms of definitions, this initiative does not specifically define sustainability, however, based on their projects it can be seen to have a focus on recycling, energy conservation, fossil fuel use, water conservation and purchasing.  For this specific project they also listed a goal of reducing heating bills by 45% so there is a clear influence of cost as well.  </w:t>
      </w:r>
    </w:p>
    <w:p w:rsidR="00F16ED0" w:rsidRPr="00F16ED0" w:rsidRDefault="00F16ED0" w:rsidP="006C0577">
      <w:pPr>
        <w:spacing w:line="480" w:lineRule="auto"/>
        <w:ind w:firstLine="360"/>
        <w:rPr>
          <w:rFonts w:ascii="Times New Roman" w:hAnsi="Times New Roman" w:cs="Times New Roman"/>
          <w:sz w:val="24"/>
          <w:szCs w:val="24"/>
        </w:rPr>
      </w:pPr>
    </w:p>
    <w:p w:rsidR="006C0577" w:rsidRPr="00F16ED0" w:rsidRDefault="006C0577" w:rsidP="006C0577">
      <w:pPr>
        <w:pStyle w:val="ListParagraph"/>
        <w:numPr>
          <w:ilvl w:val="0"/>
          <w:numId w:val="2"/>
        </w:numPr>
        <w:spacing w:line="480" w:lineRule="auto"/>
        <w:rPr>
          <w:rFonts w:ascii="Times New Roman" w:hAnsi="Times New Roman" w:cs="Times New Roman"/>
          <w:b/>
          <w:sz w:val="24"/>
          <w:szCs w:val="24"/>
        </w:rPr>
      </w:pPr>
      <w:r w:rsidRPr="00F16ED0">
        <w:rPr>
          <w:rFonts w:ascii="Times New Roman" w:hAnsi="Times New Roman" w:cs="Times New Roman"/>
          <w:b/>
          <w:sz w:val="24"/>
          <w:szCs w:val="24"/>
        </w:rPr>
        <w:lastRenderedPageBreak/>
        <w:t>Analysis</w:t>
      </w:r>
    </w:p>
    <w:p w:rsidR="00857A21" w:rsidRPr="00F16ED0" w:rsidRDefault="00857A21" w:rsidP="00857A21">
      <w:pPr>
        <w:pStyle w:val="ListParagraph"/>
        <w:numPr>
          <w:ilvl w:val="1"/>
          <w:numId w:val="2"/>
        </w:numPr>
        <w:spacing w:line="480" w:lineRule="auto"/>
        <w:rPr>
          <w:rFonts w:ascii="Times New Roman" w:hAnsi="Times New Roman" w:cs="Times New Roman"/>
          <w:b/>
          <w:sz w:val="24"/>
          <w:szCs w:val="24"/>
        </w:rPr>
      </w:pPr>
      <w:r w:rsidRPr="00F16ED0">
        <w:rPr>
          <w:rFonts w:ascii="Times New Roman" w:hAnsi="Times New Roman" w:cs="Times New Roman"/>
          <w:b/>
          <w:sz w:val="24"/>
          <w:szCs w:val="24"/>
        </w:rPr>
        <w:t>Emissions</w:t>
      </w:r>
    </w:p>
    <w:p w:rsidR="00857A21" w:rsidRPr="00F16ED0" w:rsidRDefault="007B3684" w:rsidP="008D6947">
      <w:pPr>
        <w:spacing w:line="480" w:lineRule="auto"/>
        <w:ind w:firstLine="36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3559175</wp:posOffset>
            </wp:positionH>
            <wp:positionV relativeFrom="paragraph">
              <wp:posOffset>4934585</wp:posOffset>
            </wp:positionV>
            <wp:extent cx="3223260" cy="2232660"/>
            <wp:effectExtent l="19050" t="0" r="0" b="0"/>
            <wp:wrapThrough wrapText="bothSides">
              <wp:wrapPolygon edited="0">
                <wp:start x="-128" y="0"/>
                <wp:lineTo x="-128" y="21379"/>
                <wp:lineTo x="21574" y="21379"/>
                <wp:lineTo x="21574" y="0"/>
                <wp:lineTo x="-128"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5" cstate="print"/>
                    <a:srcRect/>
                    <a:stretch>
                      <a:fillRect/>
                    </a:stretch>
                  </pic:blipFill>
                  <pic:spPr bwMode="auto">
                    <a:xfrm>
                      <a:off x="0" y="0"/>
                      <a:ext cx="3223260" cy="2232660"/>
                    </a:xfrm>
                    <a:prstGeom prst="rect">
                      <a:avLst/>
                    </a:prstGeom>
                    <a:noFill/>
                    <a:ln w="9525">
                      <a:noFill/>
                      <a:miter lim="800000"/>
                      <a:headEnd/>
                      <a:tailEnd/>
                    </a:ln>
                  </pic:spPr>
                </pic:pic>
              </a:graphicData>
            </a:graphic>
          </wp:anchor>
        </w:drawing>
      </w:r>
      <w:r w:rsidRPr="00F16ED0">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280.6pt;margin-top:335.7pt;width:133.65pt;height:25.95pt;z-index:251660288;mso-position-horizontal-relative:text;mso-position-vertical-relative:text;mso-width-relative:margin;mso-height-relative:margin" strokecolor="white [3212]" strokeweight="0">
            <v:textbox style="mso-next-textbox:#_x0000_s1026">
              <w:txbxContent>
                <w:p w:rsidR="007F132A" w:rsidRPr="007F132A" w:rsidRDefault="007F132A">
                  <w:pPr>
                    <w:rPr>
                      <w:b/>
                    </w:rPr>
                  </w:pPr>
                  <w:r w:rsidRPr="007F132A">
                    <w:rPr>
                      <w:b/>
                    </w:rPr>
                    <w:t>Figure 1</w:t>
                  </w:r>
                </w:p>
              </w:txbxContent>
            </v:textbox>
          </v:shape>
        </w:pict>
      </w: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1422400</wp:posOffset>
            </wp:positionH>
            <wp:positionV relativeFrom="paragraph">
              <wp:posOffset>3169285</wp:posOffset>
            </wp:positionV>
            <wp:extent cx="5356860" cy="1062990"/>
            <wp:effectExtent l="19050" t="0" r="15240" b="0"/>
            <wp:wrapThrough wrapText="bothSides">
              <wp:wrapPolygon edited="0">
                <wp:start x="77" y="387"/>
                <wp:lineTo x="-77" y="2710"/>
                <wp:lineTo x="0" y="21290"/>
                <wp:lineTo x="21585" y="21290"/>
                <wp:lineTo x="21661" y="19742"/>
                <wp:lineTo x="21661" y="1161"/>
                <wp:lineTo x="21508" y="387"/>
                <wp:lineTo x="77" y="387"/>
              </wp:wrapPolygon>
            </wp:wrapThrough>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r w:rsidR="008D6947" w:rsidRPr="00F16ED0">
        <w:rPr>
          <w:rFonts w:ascii="Times New Roman" w:hAnsi="Times New Roman" w:cs="Times New Roman"/>
          <w:sz w:val="24"/>
          <w:szCs w:val="24"/>
        </w:rPr>
        <w:t xml:space="preserve">When looking at the emissions of this project we must consider that the wood fired boiler uses a carbon neutral source in Osage </w:t>
      </w:r>
      <w:proofErr w:type="gramStart"/>
      <w:r w:rsidR="008D6947" w:rsidRPr="00F16ED0">
        <w:rPr>
          <w:rFonts w:ascii="Times New Roman" w:hAnsi="Times New Roman" w:cs="Times New Roman"/>
          <w:sz w:val="24"/>
          <w:szCs w:val="24"/>
        </w:rPr>
        <w:t>Orange</w:t>
      </w:r>
      <w:proofErr w:type="gramEnd"/>
      <w:r w:rsidR="008D6947" w:rsidRPr="00F16ED0">
        <w:rPr>
          <w:rFonts w:ascii="Times New Roman" w:hAnsi="Times New Roman" w:cs="Times New Roman"/>
          <w:sz w:val="24"/>
          <w:szCs w:val="24"/>
        </w:rPr>
        <w:t xml:space="preserve"> wood</w:t>
      </w:r>
      <w:r w:rsidR="00E70677">
        <w:rPr>
          <w:rFonts w:ascii="Times New Roman" w:hAnsi="Times New Roman" w:cs="Times New Roman"/>
          <w:sz w:val="24"/>
          <w:szCs w:val="24"/>
        </w:rPr>
        <w:t xml:space="preserve"> since</w:t>
      </w:r>
      <w:r w:rsidR="008D6947" w:rsidRPr="00F16ED0">
        <w:rPr>
          <w:rFonts w:ascii="Times New Roman" w:hAnsi="Times New Roman" w:cs="Times New Roman"/>
          <w:sz w:val="24"/>
          <w:szCs w:val="24"/>
        </w:rPr>
        <w:t xml:space="preserve"> </w:t>
      </w:r>
      <w:proofErr w:type="spellStart"/>
      <w:r w:rsidR="008D6947" w:rsidRPr="00F16ED0">
        <w:rPr>
          <w:rFonts w:ascii="Times New Roman" w:hAnsi="Times New Roman" w:cs="Times New Roman"/>
          <w:sz w:val="24"/>
          <w:szCs w:val="24"/>
        </w:rPr>
        <w:t>Allerton</w:t>
      </w:r>
      <w:proofErr w:type="spellEnd"/>
      <w:r w:rsidR="008D6947" w:rsidRPr="00F16ED0">
        <w:rPr>
          <w:rFonts w:ascii="Times New Roman" w:hAnsi="Times New Roman" w:cs="Times New Roman"/>
          <w:sz w:val="24"/>
          <w:szCs w:val="24"/>
        </w:rPr>
        <w:t xml:space="preserve"> Park is replanting in areas where trees are cut.  </w:t>
      </w:r>
      <w:r w:rsidR="007F132A" w:rsidRPr="00F16ED0">
        <w:rPr>
          <w:rFonts w:ascii="Times New Roman" w:hAnsi="Times New Roman" w:cs="Times New Roman"/>
          <w:sz w:val="24"/>
          <w:szCs w:val="24"/>
        </w:rPr>
        <w:t xml:space="preserve">However, that does not mean that the Central Boiler model ECL 2300 is emission free.  It produces Fine Particulate Matter which is a different form of air pollution that can have dangerous side-effects such as visibility impairment, Environmental Damage (acidification) and aesthetic damage [5].   This Fine Particulate Matter (FPM) can be estimated using </w:t>
      </w:r>
      <w:r w:rsidR="00EF2C66" w:rsidRPr="00F16ED0">
        <w:rPr>
          <w:rFonts w:ascii="Times New Roman" w:hAnsi="Times New Roman" w:cs="Times New Roman"/>
          <w:sz w:val="24"/>
          <w:szCs w:val="24"/>
        </w:rPr>
        <w:t>the flow chart</w:t>
      </w:r>
      <w:r w:rsidR="007F132A" w:rsidRPr="00F16ED0">
        <w:rPr>
          <w:rFonts w:ascii="Times New Roman" w:hAnsi="Times New Roman" w:cs="Times New Roman"/>
          <w:sz w:val="24"/>
          <w:szCs w:val="24"/>
        </w:rPr>
        <w:t xml:space="preserve"> indicated in Figure 1.  The input for cords of Osage Orange comes from an estimate on the SSC proposal, BTU’s per cord is gathered from the University of Illinois’ extension office, and FPM per BTU can be found in the Vermont EPA’s report on the ECL2300.  These calculations led us to fin</w:t>
      </w:r>
      <w:r w:rsidR="00EF2C66" w:rsidRPr="00F16ED0">
        <w:rPr>
          <w:rFonts w:ascii="Times New Roman" w:hAnsi="Times New Roman" w:cs="Times New Roman"/>
          <w:sz w:val="24"/>
          <w:szCs w:val="24"/>
        </w:rPr>
        <w:t xml:space="preserve">d that the ECL2300 at </w:t>
      </w:r>
      <w:proofErr w:type="spellStart"/>
      <w:r w:rsidR="00EF2C66" w:rsidRPr="00F16ED0">
        <w:rPr>
          <w:rFonts w:ascii="Times New Roman" w:hAnsi="Times New Roman" w:cs="Times New Roman"/>
          <w:sz w:val="24"/>
          <w:szCs w:val="24"/>
        </w:rPr>
        <w:t>Allerton</w:t>
      </w:r>
      <w:proofErr w:type="spellEnd"/>
      <w:r w:rsidR="00EF2C66" w:rsidRPr="00F16ED0">
        <w:rPr>
          <w:rFonts w:ascii="Times New Roman" w:hAnsi="Times New Roman" w:cs="Times New Roman"/>
          <w:sz w:val="24"/>
          <w:szCs w:val="24"/>
        </w:rPr>
        <w:t xml:space="preserve"> P</w:t>
      </w:r>
      <w:r w:rsidR="007F132A" w:rsidRPr="00F16ED0">
        <w:rPr>
          <w:rFonts w:ascii="Times New Roman" w:hAnsi="Times New Roman" w:cs="Times New Roman"/>
          <w:sz w:val="24"/>
          <w:szCs w:val="24"/>
        </w:rPr>
        <w:t xml:space="preserve">ark was producing an estimated 40.6 pounds of FPM per year.  </w:t>
      </w:r>
      <w:r w:rsidR="00EF2C66" w:rsidRPr="00F16ED0">
        <w:rPr>
          <w:rFonts w:ascii="Times New Roman" w:hAnsi="Times New Roman" w:cs="Times New Roman"/>
          <w:sz w:val="24"/>
          <w:szCs w:val="24"/>
        </w:rPr>
        <w:t>[3</w:t>
      </w:r>
      <w:proofErr w:type="gramStart"/>
      <w:r w:rsidR="00EF2C66" w:rsidRPr="00F16ED0">
        <w:rPr>
          <w:rFonts w:ascii="Times New Roman" w:hAnsi="Times New Roman" w:cs="Times New Roman"/>
          <w:sz w:val="24"/>
          <w:szCs w:val="24"/>
        </w:rPr>
        <w:t>,7,10</w:t>
      </w:r>
      <w:proofErr w:type="gramEnd"/>
      <w:r w:rsidR="00EF2C66" w:rsidRPr="00F16ED0">
        <w:rPr>
          <w:rFonts w:ascii="Times New Roman" w:hAnsi="Times New Roman" w:cs="Times New Roman"/>
          <w:sz w:val="24"/>
          <w:szCs w:val="24"/>
        </w:rPr>
        <w:t>]</w:t>
      </w:r>
    </w:p>
    <w:p w:rsidR="00B61315" w:rsidRPr="00F16ED0" w:rsidRDefault="007B3684" w:rsidP="00B61315">
      <w:pPr>
        <w:spacing w:line="480" w:lineRule="auto"/>
        <w:ind w:firstLine="360"/>
        <w:rPr>
          <w:rFonts w:ascii="Times New Roman" w:hAnsi="Times New Roman" w:cs="Times New Roman"/>
          <w:sz w:val="24"/>
          <w:szCs w:val="24"/>
        </w:rPr>
      </w:pPr>
      <w:r w:rsidRPr="00F16ED0">
        <w:rPr>
          <w:rFonts w:ascii="Times New Roman" w:hAnsi="Times New Roman" w:cs="Times New Roman"/>
          <w:noProof/>
          <w:sz w:val="24"/>
          <w:szCs w:val="24"/>
          <w:lang w:eastAsia="zh-TW"/>
        </w:rPr>
        <w:pict>
          <v:shape id="_x0000_s1027" type="#_x0000_t202" style="position:absolute;left:0;text-align:left;margin-left:285.25pt;margin-top:172.2pt;width:186.35pt;height:33.4pt;z-index:251663360;mso-width-percent:400;mso-height-percent:200;mso-width-percent:400;mso-height-percent:200;mso-width-relative:margin;mso-height-relative:margin" strokecolor="white [3212]">
            <v:textbox style="mso-fit-shape-to-text:t">
              <w:txbxContent>
                <w:p w:rsidR="00B61315" w:rsidRPr="00B61315" w:rsidRDefault="00B61315">
                  <w:pPr>
                    <w:rPr>
                      <w:b/>
                    </w:rPr>
                  </w:pPr>
                  <w:r>
                    <w:rPr>
                      <w:b/>
                    </w:rPr>
                    <w:t>Figure 2</w:t>
                  </w:r>
                </w:p>
              </w:txbxContent>
            </v:textbox>
          </v:shape>
        </w:pict>
      </w:r>
      <w:r w:rsidR="00EF2C66" w:rsidRPr="00F16ED0">
        <w:rPr>
          <w:rFonts w:ascii="Times New Roman" w:hAnsi="Times New Roman" w:cs="Times New Roman"/>
          <w:sz w:val="24"/>
          <w:szCs w:val="24"/>
        </w:rPr>
        <w:t xml:space="preserve">For complete emissions testing we must also look at the previously installed system of exclusive natural gas heating.  From Figure 2 [3], we can see the natural gas use in the year 2007-2008 which is used as our baseline in analysis.  The system was using 11,150 </w:t>
      </w:r>
      <w:proofErr w:type="spellStart"/>
      <w:r w:rsidR="00EF2C66" w:rsidRPr="00F16ED0">
        <w:rPr>
          <w:rFonts w:ascii="Times New Roman" w:hAnsi="Times New Roman" w:cs="Times New Roman"/>
          <w:sz w:val="24"/>
          <w:szCs w:val="24"/>
        </w:rPr>
        <w:t>therms</w:t>
      </w:r>
      <w:proofErr w:type="spellEnd"/>
      <w:r w:rsidR="00EF2C66" w:rsidRPr="00F16ED0">
        <w:rPr>
          <w:rFonts w:ascii="Times New Roman" w:hAnsi="Times New Roman" w:cs="Times New Roman"/>
          <w:sz w:val="24"/>
          <w:szCs w:val="24"/>
        </w:rPr>
        <w:t xml:space="preserve"> of na</w:t>
      </w:r>
      <w:r w:rsidR="00B61315" w:rsidRPr="00F16ED0">
        <w:rPr>
          <w:rFonts w:ascii="Times New Roman" w:hAnsi="Times New Roman" w:cs="Times New Roman"/>
          <w:sz w:val="24"/>
          <w:szCs w:val="24"/>
        </w:rPr>
        <w:t xml:space="preserve">tural gas per year which produces an estimated 59.12 </w:t>
      </w:r>
      <w:r w:rsidR="00B61315" w:rsidRPr="00F16ED0">
        <w:rPr>
          <w:rFonts w:ascii="Times New Roman" w:hAnsi="Times New Roman" w:cs="Times New Roman"/>
          <w:sz w:val="24"/>
          <w:szCs w:val="24"/>
        </w:rPr>
        <w:lastRenderedPageBreak/>
        <w:t xml:space="preserve">metric tons of Carbon Dioxide per year based on EPA emission factors [9].  </w:t>
      </w:r>
    </w:p>
    <w:p w:rsidR="00F16ED0" w:rsidRPr="00F16ED0" w:rsidRDefault="00F16ED0" w:rsidP="00B61315">
      <w:pPr>
        <w:spacing w:line="480" w:lineRule="auto"/>
        <w:ind w:firstLine="360"/>
        <w:rPr>
          <w:rFonts w:ascii="Times New Roman" w:hAnsi="Times New Roman" w:cs="Times New Roman"/>
          <w:sz w:val="24"/>
          <w:szCs w:val="24"/>
        </w:rPr>
      </w:pPr>
    </w:p>
    <w:p w:rsidR="00B61315" w:rsidRPr="00F16ED0" w:rsidRDefault="00B61315" w:rsidP="00B61315">
      <w:pPr>
        <w:pStyle w:val="ListParagraph"/>
        <w:numPr>
          <w:ilvl w:val="1"/>
          <w:numId w:val="2"/>
        </w:numPr>
        <w:spacing w:line="480" w:lineRule="auto"/>
        <w:rPr>
          <w:rFonts w:ascii="Times New Roman" w:hAnsi="Times New Roman" w:cs="Times New Roman"/>
          <w:b/>
          <w:sz w:val="24"/>
          <w:szCs w:val="24"/>
        </w:rPr>
      </w:pPr>
      <w:r w:rsidRPr="00F16ED0">
        <w:rPr>
          <w:rFonts w:ascii="Times New Roman" w:hAnsi="Times New Roman" w:cs="Times New Roman"/>
          <w:b/>
          <w:sz w:val="24"/>
          <w:szCs w:val="24"/>
        </w:rPr>
        <w:t xml:space="preserve"> Costs</w:t>
      </w:r>
    </w:p>
    <w:p w:rsidR="00B61315" w:rsidRPr="00F16ED0" w:rsidRDefault="006422D2" w:rsidP="00B61315">
      <w:pPr>
        <w:spacing w:line="480" w:lineRule="auto"/>
        <w:ind w:firstLine="360"/>
        <w:rPr>
          <w:rFonts w:ascii="Times New Roman" w:hAnsi="Times New Roman" w:cs="Times New Roman"/>
          <w:sz w:val="24"/>
          <w:szCs w:val="24"/>
        </w:rPr>
      </w:pPr>
      <w:r w:rsidRPr="00F16ED0">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3006725</wp:posOffset>
            </wp:positionH>
            <wp:positionV relativeFrom="paragraph">
              <wp:posOffset>988060</wp:posOffset>
            </wp:positionV>
            <wp:extent cx="3372485" cy="1977390"/>
            <wp:effectExtent l="19050" t="0" r="0" b="0"/>
            <wp:wrapThrough wrapText="bothSides">
              <wp:wrapPolygon edited="0">
                <wp:start x="-122" y="0"/>
                <wp:lineTo x="-122" y="21434"/>
                <wp:lineTo x="21596" y="21434"/>
                <wp:lineTo x="21596" y="0"/>
                <wp:lineTo x="-122"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372485" cy="1977390"/>
                    </a:xfrm>
                    <a:prstGeom prst="rect">
                      <a:avLst/>
                    </a:prstGeom>
                    <a:noFill/>
                    <a:ln w="9525">
                      <a:noFill/>
                      <a:miter lim="800000"/>
                      <a:headEnd/>
                      <a:tailEnd/>
                    </a:ln>
                  </pic:spPr>
                </pic:pic>
              </a:graphicData>
            </a:graphic>
          </wp:anchor>
        </w:drawing>
      </w:r>
      <w:r w:rsidR="00B61315" w:rsidRPr="00F16ED0">
        <w:rPr>
          <w:rFonts w:ascii="Times New Roman" w:hAnsi="Times New Roman" w:cs="Times New Roman"/>
          <w:sz w:val="24"/>
          <w:szCs w:val="24"/>
        </w:rPr>
        <w:t xml:space="preserve">When analyzing the costs of the project, we must consider first the operating cost and integrate that with capital costs to estimate a return on investment.  In this analysis the year 2008 will be used as a baseline for cost, and natural gas prices will be fixed at $1.004 per </w:t>
      </w:r>
      <w:proofErr w:type="spellStart"/>
      <w:r w:rsidR="00B61315" w:rsidRPr="00F16ED0">
        <w:rPr>
          <w:rFonts w:ascii="Times New Roman" w:hAnsi="Times New Roman" w:cs="Times New Roman"/>
          <w:sz w:val="24"/>
          <w:szCs w:val="24"/>
        </w:rPr>
        <w:t>Therm</w:t>
      </w:r>
      <w:proofErr w:type="spellEnd"/>
      <w:r w:rsidR="00B61315" w:rsidRPr="00F16ED0">
        <w:rPr>
          <w:rFonts w:ascii="Times New Roman" w:hAnsi="Times New Roman" w:cs="Times New Roman"/>
          <w:sz w:val="24"/>
          <w:szCs w:val="24"/>
        </w:rPr>
        <w:t xml:space="preserve"> which was the price according to figure 2.  </w:t>
      </w:r>
    </w:p>
    <w:p w:rsidR="006422D2" w:rsidRPr="00F16ED0" w:rsidRDefault="006422D2" w:rsidP="00B61315">
      <w:pPr>
        <w:spacing w:line="480" w:lineRule="auto"/>
        <w:ind w:firstLine="360"/>
        <w:rPr>
          <w:rFonts w:ascii="Times New Roman" w:hAnsi="Times New Roman" w:cs="Times New Roman"/>
          <w:sz w:val="24"/>
          <w:szCs w:val="24"/>
        </w:rPr>
      </w:pPr>
      <w:r w:rsidRPr="00F16ED0">
        <w:rPr>
          <w:rFonts w:ascii="Times New Roman" w:hAnsi="Times New Roman" w:cs="Times New Roman"/>
          <w:noProof/>
          <w:sz w:val="24"/>
          <w:szCs w:val="24"/>
          <w:lang w:eastAsia="zh-TW"/>
        </w:rPr>
        <w:pict>
          <v:shape id="_x0000_s1028" type="#_x0000_t202" style="position:absolute;left:0;text-align:left;margin-left:255.9pt;margin-top:112.9pt;width:186.35pt;height:33.4pt;z-index:251666432;mso-width-percent:400;mso-height-percent:200;mso-width-percent:400;mso-height-percent:200;mso-width-relative:margin;mso-height-relative:margin" strokecolor="white [3212]">
            <v:textbox style="mso-fit-shape-to-text:t">
              <w:txbxContent>
                <w:p w:rsidR="006422D2" w:rsidRPr="006422D2" w:rsidRDefault="006422D2">
                  <w:pPr>
                    <w:rPr>
                      <w:b/>
                    </w:rPr>
                  </w:pPr>
                  <w:r w:rsidRPr="006422D2">
                    <w:rPr>
                      <w:b/>
                    </w:rPr>
                    <w:t>Figure 3</w:t>
                  </w:r>
                </w:p>
              </w:txbxContent>
            </v:textbox>
          </v:shape>
        </w:pict>
      </w:r>
      <w:r w:rsidR="00E70677">
        <w:rPr>
          <w:rFonts w:ascii="Times New Roman" w:hAnsi="Times New Roman" w:cs="Times New Roman"/>
          <w:noProof/>
          <w:sz w:val="24"/>
          <w:szCs w:val="24"/>
          <w:lang w:eastAsia="zh-TW"/>
        </w:rPr>
        <w:t>Scenario 1 is an</w:t>
      </w:r>
      <w:r w:rsidRPr="00F16ED0">
        <w:rPr>
          <w:rFonts w:ascii="Times New Roman" w:hAnsi="Times New Roman" w:cs="Times New Roman"/>
          <w:sz w:val="24"/>
          <w:szCs w:val="24"/>
        </w:rPr>
        <w:t xml:space="preserve"> analysis </w:t>
      </w:r>
      <w:r w:rsidR="00E70677">
        <w:rPr>
          <w:rFonts w:ascii="Times New Roman" w:hAnsi="Times New Roman" w:cs="Times New Roman"/>
          <w:sz w:val="24"/>
          <w:szCs w:val="24"/>
        </w:rPr>
        <w:t xml:space="preserve">that </w:t>
      </w:r>
      <w:r w:rsidRPr="00F16ED0">
        <w:rPr>
          <w:rFonts w:ascii="Times New Roman" w:hAnsi="Times New Roman" w:cs="Times New Roman"/>
          <w:sz w:val="24"/>
          <w:szCs w:val="24"/>
        </w:rPr>
        <w:t xml:space="preserve">relies on the data from Figure 2 and shows that out of pocket operation </w:t>
      </w:r>
      <w:r w:rsidR="00E70677">
        <w:rPr>
          <w:rFonts w:ascii="Times New Roman" w:hAnsi="Times New Roman" w:cs="Times New Roman"/>
          <w:sz w:val="24"/>
          <w:szCs w:val="24"/>
        </w:rPr>
        <w:t>costs drop</w:t>
      </w:r>
      <w:r w:rsidRPr="00F16ED0">
        <w:rPr>
          <w:rFonts w:ascii="Times New Roman" w:hAnsi="Times New Roman" w:cs="Times New Roman"/>
          <w:sz w:val="24"/>
          <w:szCs w:val="24"/>
        </w:rPr>
        <w:t xml:space="preserve"> significantly after the successful implementation of the ECL2300.  From the baseline of $11,108.09, natural gas cost drops to near $2,000. See figure 3. </w:t>
      </w:r>
    </w:p>
    <w:p w:rsidR="006422D2" w:rsidRPr="00F16ED0" w:rsidRDefault="007B3684" w:rsidP="00B61315">
      <w:pPr>
        <w:spacing w:line="480" w:lineRule="auto"/>
        <w:ind w:firstLine="360"/>
        <w:rPr>
          <w:rFonts w:ascii="Times New Roman" w:hAnsi="Times New Roman" w:cs="Times New Roman"/>
          <w:sz w:val="24"/>
          <w:szCs w:val="24"/>
        </w:rPr>
      </w:pPr>
      <w:r w:rsidRPr="00F16ED0">
        <w:rPr>
          <w:rFonts w:ascii="Times New Roman" w:hAnsi="Times New Roman" w:cs="Times New Roman"/>
          <w:noProof/>
          <w:sz w:val="24"/>
          <w:szCs w:val="24"/>
          <w:lang w:eastAsia="zh-TW"/>
        </w:rPr>
        <w:pict>
          <v:shape id="_x0000_s1029" type="#_x0000_t202" style="position:absolute;left:0;text-align:left;margin-left:261.7pt;margin-top:202.5pt;width:186.35pt;height:33.4pt;z-index:251669504;mso-width-percent:400;mso-height-percent:200;mso-width-percent:400;mso-height-percent:200;mso-width-relative:margin;mso-height-relative:margin" strokecolor="white [3212]">
            <v:textbox style="mso-fit-shape-to-text:t">
              <w:txbxContent>
                <w:p w:rsidR="00DB7318" w:rsidRPr="00DB7318" w:rsidRDefault="00DB7318">
                  <w:pPr>
                    <w:rPr>
                      <w:b/>
                    </w:rPr>
                  </w:pPr>
                  <w:r w:rsidRPr="00DB7318">
                    <w:rPr>
                      <w:b/>
                    </w:rPr>
                    <w:t>Figure 4</w:t>
                  </w:r>
                </w:p>
              </w:txbxContent>
            </v:textbox>
          </v:shape>
        </w:pict>
      </w:r>
      <w:r>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2783205</wp:posOffset>
            </wp:positionH>
            <wp:positionV relativeFrom="paragraph">
              <wp:posOffset>241935</wp:posOffset>
            </wp:positionV>
            <wp:extent cx="3850640" cy="2253615"/>
            <wp:effectExtent l="19050" t="0" r="0" b="0"/>
            <wp:wrapThrough wrapText="bothSides">
              <wp:wrapPolygon edited="0">
                <wp:start x="-107" y="0"/>
                <wp:lineTo x="-107" y="21363"/>
                <wp:lineTo x="21586" y="21363"/>
                <wp:lineTo x="21586" y="0"/>
                <wp:lineTo x="-107" y="0"/>
              </wp:wrapPolygon>
            </wp:wrapThrough>
            <wp:docPr id="4" name="Picture 3"/>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cstate="print"/>
                    <a:srcRect/>
                    <a:stretch>
                      <a:fillRect/>
                    </a:stretch>
                  </pic:blipFill>
                  <pic:spPr bwMode="auto">
                    <a:xfrm>
                      <a:off x="0" y="0"/>
                      <a:ext cx="3850640" cy="2253615"/>
                    </a:xfrm>
                    <a:prstGeom prst="rect">
                      <a:avLst/>
                    </a:prstGeom>
                    <a:noFill/>
                    <a:ln w="9525">
                      <a:noFill/>
                      <a:miter lim="800000"/>
                      <a:headEnd/>
                      <a:tailEnd/>
                    </a:ln>
                  </pic:spPr>
                </pic:pic>
              </a:graphicData>
            </a:graphic>
          </wp:anchor>
        </w:drawing>
      </w:r>
      <w:r w:rsidR="00E70677">
        <w:rPr>
          <w:rFonts w:ascii="Times New Roman" w:hAnsi="Times New Roman" w:cs="Times New Roman"/>
          <w:noProof/>
          <w:sz w:val="24"/>
          <w:szCs w:val="24"/>
          <w:lang w:eastAsia="zh-TW"/>
        </w:rPr>
        <w:t>Scenario 2</w:t>
      </w:r>
      <w:r w:rsidR="006422D2" w:rsidRPr="00F16ED0">
        <w:rPr>
          <w:rFonts w:ascii="Times New Roman" w:hAnsi="Times New Roman" w:cs="Times New Roman"/>
          <w:sz w:val="24"/>
          <w:szCs w:val="24"/>
        </w:rPr>
        <w:t xml:space="preserve"> consider</w:t>
      </w:r>
      <w:r w:rsidR="00E70677">
        <w:rPr>
          <w:rFonts w:ascii="Times New Roman" w:hAnsi="Times New Roman" w:cs="Times New Roman"/>
          <w:sz w:val="24"/>
          <w:szCs w:val="24"/>
        </w:rPr>
        <w:t>s</w:t>
      </w:r>
      <w:r w:rsidR="006422D2" w:rsidRPr="00F16ED0">
        <w:rPr>
          <w:rFonts w:ascii="Times New Roman" w:hAnsi="Times New Roman" w:cs="Times New Roman"/>
          <w:sz w:val="24"/>
          <w:szCs w:val="24"/>
        </w:rPr>
        <w:t xml:space="preserve"> the additional cost of labor</w:t>
      </w:r>
      <w:r w:rsidR="00DB7318" w:rsidRPr="00F16ED0">
        <w:rPr>
          <w:rFonts w:ascii="Times New Roman" w:hAnsi="Times New Roman" w:cs="Times New Roman"/>
          <w:sz w:val="24"/>
          <w:szCs w:val="24"/>
        </w:rPr>
        <w:t xml:space="preserve"> for felling trees, splitting wood, stacking wood</w:t>
      </w:r>
      <w:r w:rsidR="006422D2" w:rsidRPr="00F16ED0">
        <w:rPr>
          <w:rFonts w:ascii="Times New Roman" w:hAnsi="Times New Roman" w:cs="Times New Roman"/>
          <w:sz w:val="24"/>
          <w:szCs w:val="24"/>
        </w:rPr>
        <w:t>,</w:t>
      </w:r>
      <w:r w:rsidR="00DB7318" w:rsidRPr="00F16ED0">
        <w:rPr>
          <w:rFonts w:ascii="Times New Roman" w:hAnsi="Times New Roman" w:cs="Times New Roman"/>
          <w:sz w:val="24"/>
          <w:szCs w:val="24"/>
        </w:rPr>
        <w:t xml:space="preserve"> and fueling, the results are not as positive, </w:t>
      </w:r>
      <w:r>
        <w:rPr>
          <w:rFonts w:ascii="Times New Roman" w:hAnsi="Times New Roman" w:cs="Times New Roman"/>
          <w:sz w:val="24"/>
          <w:szCs w:val="24"/>
        </w:rPr>
        <w:t xml:space="preserve">see </w:t>
      </w:r>
      <w:r w:rsidR="00DB7318" w:rsidRPr="00F16ED0">
        <w:rPr>
          <w:rFonts w:ascii="Times New Roman" w:hAnsi="Times New Roman" w:cs="Times New Roman"/>
          <w:sz w:val="24"/>
          <w:szCs w:val="24"/>
        </w:rPr>
        <w:t>Figure 4.  Labor is p</w:t>
      </w:r>
      <w:r w:rsidR="006422D2" w:rsidRPr="00F16ED0">
        <w:rPr>
          <w:rFonts w:ascii="Times New Roman" w:hAnsi="Times New Roman" w:cs="Times New Roman"/>
          <w:sz w:val="24"/>
          <w:szCs w:val="24"/>
        </w:rPr>
        <w:t>rimarily pro</w:t>
      </w:r>
      <w:r w:rsidR="00DB7318" w:rsidRPr="00F16ED0">
        <w:rPr>
          <w:rFonts w:ascii="Times New Roman" w:hAnsi="Times New Roman" w:cs="Times New Roman"/>
          <w:sz w:val="24"/>
          <w:szCs w:val="24"/>
        </w:rPr>
        <w:t>vided through volunteer efforts and t</w:t>
      </w:r>
      <w:r w:rsidR="006422D2" w:rsidRPr="00F16ED0">
        <w:rPr>
          <w:rFonts w:ascii="Times New Roman" w:hAnsi="Times New Roman" w:cs="Times New Roman"/>
          <w:sz w:val="24"/>
          <w:szCs w:val="24"/>
        </w:rPr>
        <w:t xml:space="preserve">he cost of labor was estimated at </w:t>
      </w:r>
      <w:r w:rsidR="00DB7318" w:rsidRPr="00F16ED0">
        <w:rPr>
          <w:rFonts w:ascii="Times New Roman" w:hAnsi="Times New Roman" w:cs="Times New Roman"/>
          <w:sz w:val="24"/>
          <w:szCs w:val="24"/>
        </w:rPr>
        <w:t xml:space="preserve">$20.25 in 2008 [11].  The number of volunteer hours used per year is 500 and was given as an estimate from Derek Peterson [4].  </w:t>
      </w:r>
    </w:p>
    <w:p w:rsidR="00F16ED0" w:rsidRPr="00F16ED0" w:rsidRDefault="00F16ED0" w:rsidP="008D6947">
      <w:pPr>
        <w:spacing w:line="480" w:lineRule="auto"/>
        <w:ind w:firstLine="360"/>
        <w:rPr>
          <w:rFonts w:ascii="Times New Roman" w:hAnsi="Times New Roman" w:cs="Times New Roman"/>
          <w:sz w:val="24"/>
          <w:szCs w:val="24"/>
        </w:rPr>
      </w:pPr>
      <w:r w:rsidRPr="00F16ED0">
        <w:rPr>
          <w:rFonts w:ascii="Times New Roman" w:hAnsi="Times New Roman" w:cs="Times New Roman"/>
          <w:noProof/>
          <w:sz w:val="24"/>
          <w:szCs w:val="24"/>
        </w:rPr>
        <w:lastRenderedPageBreak/>
        <w:pict>
          <v:shape id="_x0000_s1030" type="#_x0000_t202" style="position:absolute;left:0;text-align:left;margin-left:266.7pt;margin-top:223.05pt;width:186.35pt;height:33.4pt;z-index:251657215;mso-width-percent:400;mso-height-percent:200;mso-width-percent:400;mso-height-percent:200;mso-width-relative:margin;mso-height-relative:margin" strokecolor="white [3212]">
            <v:fill opacity="0"/>
            <v:textbox style="mso-fit-shape-to-text:t">
              <w:txbxContent>
                <w:p w:rsidR="00AE6D73" w:rsidRPr="00DB7318" w:rsidRDefault="00AE6D73" w:rsidP="00AE6D73">
                  <w:pPr>
                    <w:rPr>
                      <w:b/>
                    </w:rPr>
                  </w:pPr>
                  <w:r>
                    <w:rPr>
                      <w:b/>
                    </w:rPr>
                    <w:t>Figure 5</w:t>
                  </w:r>
                </w:p>
              </w:txbxContent>
            </v:textbox>
          </v:shape>
        </w:pict>
      </w:r>
      <w:r w:rsidR="00AE6D73" w:rsidRPr="00F16ED0">
        <w:rPr>
          <w:rFonts w:ascii="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3030220</wp:posOffset>
            </wp:positionH>
            <wp:positionV relativeFrom="paragraph">
              <wp:posOffset>768985</wp:posOffset>
            </wp:positionV>
            <wp:extent cx="3251200" cy="2105025"/>
            <wp:effectExtent l="19050" t="0" r="6350" b="0"/>
            <wp:wrapThrough wrapText="bothSides">
              <wp:wrapPolygon edited="0">
                <wp:start x="-127" y="0"/>
                <wp:lineTo x="-127" y="21502"/>
                <wp:lineTo x="21642" y="21502"/>
                <wp:lineTo x="21642" y="0"/>
                <wp:lineTo x="-127" y="0"/>
              </wp:wrapPolygon>
            </wp:wrapThrough>
            <wp:docPr id="5" name="Picture 4"/>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13" cstate="print"/>
                    <a:srcRect/>
                    <a:stretch>
                      <a:fillRect/>
                    </a:stretch>
                  </pic:blipFill>
                  <pic:spPr bwMode="auto">
                    <a:xfrm>
                      <a:off x="0" y="0"/>
                      <a:ext cx="3251200" cy="2105025"/>
                    </a:xfrm>
                    <a:prstGeom prst="rect">
                      <a:avLst/>
                    </a:prstGeom>
                    <a:noFill/>
                    <a:ln w="9525">
                      <a:noFill/>
                      <a:miter lim="800000"/>
                      <a:headEnd/>
                      <a:tailEnd/>
                    </a:ln>
                  </pic:spPr>
                </pic:pic>
              </a:graphicData>
            </a:graphic>
          </wp:anchor>
        </w:drawing>
      </w:r>
      <w:r w:rsidR="00DB7318" w:rsidRPr="00F16ED0">
        <w:rPr>
          <w:rFonts w:ascii="Times New Roman" w:hAnsi="Times New Roman" w:cs="Times New Roman"/>
          <w:sz w:val="24"/>
          <w:szCs w:val="24"/>
        </w:rPr>
        <w:t xml:space="preserve">The final </w:t>
      </w:r>
      <w:r w:rsidR="00E70677">
        <w:rPr>
          <w:rFonts w:ascii="Times New Roman" w:hAnsi="Times New Roman" w:cs="Times New Roman"/>
          <w:sz w:val="24"/>
          <w:szCs w:val="24"/>
        </w:rPr>
        <w:t>scenario 3</w:t>
      </w:r>
      <w:r w:rsidR="00DB7318" w:rsidRPr="00F16ED0">
        <w:rPr>
          <w:rFonts w:ascii="Times New Roman" w:hAnsi="Times New Roman" w:cs="Times New Roman"/>
          <w:sz w:val="24"/>
          <w:szCs w:val="24"/>
        </w:rPr>
        <w:t xml:space="preserve"> used in cost analysis </w:t>
      </w:r>
      <w:r w:rsidR="00E70677">
        <w:rPr>
          <w:rFonts w:ascii="Times New Roman" w:hAnsi="Times New Roman" w:cs="Times New Roman"/>
          <w:sz w:val="24"/>
          <w:szCs w:val="24"/>
        </w:rPr>
        <w:t>includes</w:t>
      </w:r>
      <w:r w:rsidR="00DB7318" w:rsidRPr="00F16ED0">
        <w:rPr>
          <w:rFonts w:ascii="Times New Roman" w:hAnsi="Times New Roman" w:cs="Times New Roman"/>
          <w:sz w:val="24"/>
          <w:szCs w:val="24"/>
        </w:rPr>
        <w:t xml:space="preserve"> the social cost of carbon.  </w:t>
      </w:r>
      <w:r w:rsidR="00AE6D73" w:rsidRPr="00F16ED0">
        <w:rPr>
          <w:rFonts w:ascii="Times New Roman" w:hAnsi="Times New Roman" w:cs="Times New Roman"/>
          <w:sz w:val="24"/>
          <w:szCs w:val="24"/>
        </w:rPr>
        <w:t xml:space="preserve">This </w:t>
      </w:r>
      <w:r w:rsidR="00E70677">
        <w:rPr>
          <w:rFonts w:ascii="Times New Roman" w:hAnsi="Times New Roman" w:cs="Times New Roman"/>
          <w:sz w:val="24"/>
          <w:szCs w:val="24"/>
        </w:rPr>
        <w:t>social cost was</w:t>
      </w:r>
      <w:r w:rsidR="00AE6D73" w:rsidRPr="00F16ED0">
        <w:rPr>
          <w:rFonts w:ascii="Times New Roman" w:hAnsi="Times New Roman" w:cs="Times New Roman"/>
          <w:sz w:val="24"/>
          <w:szCs w:val="24"/>
        </w:rPr>
        <w:t xml:space="preserve"> set at a valuation of $37 per ton which was the conservative estimate given by the EPA in 2014.  This value would ideally be standardized to 2008 with proper discount rates however </w:t>
      </w:r>
      <w:r w:rsidR="00E70677">
        <w:rPr>
          <w:rFonts w:ascii="Times New Roman" w:hAnsi="Times New Roman" w:cs="Times New Roman"/>
          <w:sz w:val="24"/>
          <w:szCs w:val="24"/>
        </w:rPr>
        <w:t>that data is not currently available so a</w:t>
      </w:r>
      <w:r w:rsidR="00AE6D73" w:rsidRPr="00F16ED0">
        <w:rPr>
          <w:rFonts w:ascii="Times New Roman" w:hAnsi="Times New Roman" w:cs="Times New Roman"/>
          <w:sz w:val="24"/>
          <w:szCs w:val="24"/>
        </w:rPr>
        <w:t xml:space="preserve"> conservative estimate was selected.  When we include this additional cost of carbon, we can see how it would theoretically be less expensive to operate the wood fueled boiler as opposed to exclusive natural gas.  See Figure 5</w:t>
      </w:r>
    </w:p>
    <w:p w:rsidR="006828F8" w:rsidRPr="00F16ED0" w:rsidRDefault="00F16ED0" w:rsidP="00F16ED0">
      <w:pPr>
        <w:spacing w:line="480" w:lineRule="auto"/>
        <w:ind w:firstLine="360"/>
        <w:rPr>
          <w:rFonts w:ascii="Times New Roman" w:hAnsi="Times New Roman" w:cs="Times New Roman"/>
          <w:noProof/>
          <w:sz w:val="24"/>
          <w:szCs w:val="24"/>
        </w:rPr>
      </w:pPr>
      <w:r w:rsidRPr="00F16ED0">
        <w:rPr>
          <w:rFonts w:ascii="Times New Roman" w:hAnsi="Times New Roman" w:cs="Times New Roman"/>
          <w:sz w:val="24"/>
          <w:szCs w:val="24"/>
        </w:rPr>
        <w:t xml:space="preserve">To determine the return on investment we must look at the projected </w:t>
      </w:r>
      <w:r w:rsidRPr="00F16ED0">
        <w:rPr>
          <w:rFonts w:ascii="Times New Roman" w:hAnsi="Times New Roman" w:cs="Times New Roman"/>
          <w:noProof/>
          <w:sz w:val="24"/>
          <w:szCs w:val="24"/>
        </w:rPr>
        <w:t>operation costs and age of the product.  Unfortunately we cannot determine how long the implemented ECL 2300 will last because it has not been tested to failure.  In the first scenario we would hit the break even point in 3.54 years, the second scenario there would be financial loss, and in the third the break even would occur at 30.47 years</w:t>
      </w:r>
    </w:p>
    <w:p w:rsidR="00F16ED0" w:rsidRPr="00F16ED0" w:rsidRDefault="00F16ED0" w:rsidP="00F16ED0">
      <w:pPr>
        <w:spacing w:line="480" w:lineRule="auto"/>
        <w:ind w:firstLine="360"/>
        <w:rPr>
          <w:rFonts w:ascii="Times New Roman" w:hAnsi="Times New Roman" w:cs="Times New Roman"/>
          <w:noProof/>
          <w:sz w:val="24"/>
          <w:szCs w:val="24"/>
        </w:rPr>
      </w:pPr>
    </w:p>
    <w:p w:rsidR="006C0577" w:rsidRPr="00F16ED0" w:rsidRDefault="006C0577" w:rsidP="006C0577">
      <w:pPr>
        <w:pStyle w:val="ListParagraph"/>
        <w:numPr>
          <w:ilvl w:val="0"/>
          <w:numId w:val="2"/>
        </w:numPr>
        <w:spacing w:line="480" w:lineRule="auto"/>
        <w:rPr>
          <w:rFonts w:ascii="Times New Roman" w:hAnsi="Times New Roman" w:cs="Times New Roman"/>
          <w:b/>
          <w:sz w:val="24"/>
          <w:szCs w:val="24"/>
        </w:rPr>
      </w:pPr>
      <w:r w:rsidRPr="00F16ED0">
        <w:rPr>
          <w:rFonts w:ascii="Times New Roman" w:hAnsi="Times New Roman" w:cs="Times New Roman"/>
          <w:b/>
          <w:sz w:val="24"/>
          <w:szCs w:val="24"/>
        </w:rPr>
        <w:t>Discussion</w:t>
      </w:r>
    </w:p>
    <w:p w:rsidR="006828F8" w:rsidRPr="00F16ED0" w:rsidRDefault="006828F8" w:rsidP="006828F8">
      <w:pPr>
        <w:pStyle w:val="ListParagraph"/>
        <w:spacing w:line="480" w:lineRule="auto"/>
        <w:ind w:left="0" w:firstLine="720"/>
        <w:rPr>
          <w:rFonts w:ascii="Times New Roman" w:hAnsi="Times New Roman" w:cs="Times New Roman"/>
          <w:sz w:val="24"/>
          <w:szCs w:val="24"/>
        </w:rPr>
      </w:pPr>
      <w:r w:rsidRPr="00F16ED0">
        <w:rPr>
          <w:rFonts w:ascii="Times New Roman" w:hAnsi="Times New Roman" w:cs="Times New Roman"/>
          <w:sz w:val="24"/>
          <w:szCs w:val="24"/>
        </w:rPr>
        <w:t xml:space="preserve">The emissions analysis performed shows that the ECL2300 unit produces 40.6lb of FPM per year however the Carbon Dioxide emissions drop by nearly 50 tons per year.  Unfortunately it is difficult to determine whether the increase in FPM is worth the drop in CO2.  In </w:t>
      </w:r>
      <w:proofErr w:type="spellStart"/>
      <w:r w:rsidRPr="00F16ED0">
        <w:rPr>
          <w:rFonts w:ascii="Times New Roman" w:hAnsi="Times New Roman" w:cs="Times New Roman"/>
          <w:sz w:val="24"/>
          <w:szCs w:val="24"/>
        </w:rPr>
        <w:t>Fann’s</w:t>
      </w:r>
      <w:proofErr w:type="spellEnd"/>
      <w:r w:rsidRPr="00F16ED0">
        <w:rPr>
          <w:rFonts w:ascii="Times New Roman" w:hAnsi="Times New Roman" w:cs="Times New Roman"/>
          <w:sz w:val="24"/>
          <w:szCs w:val="24"/>
        </w:rPr>
        <w:t xml:space="preserve"> 2008 article [6], it is shown that Fine Particulate Matter pollution can have major or minor affects </w:t>
      </w:r>
      <w:r w:rsidRPr="00F16ED0">
        <w:rPr>
          <w:rFonts w:ascii="Times New Roman" w:hAnsi="Times New Roman" w:cs="Times New Roman"/>
          <w:sz w:val="24"/>
          <w:szCs w:val="24"/>
        </w:rPr>
        <w:lastRenderedPageBreak/>
        <w:t xml:space="preserve">based on location, type and source.  It is likely that the single boiler will not produce significant haze or health effects; however they cannot be fully rejected.  </w:t>
      </w:r>
    </w:p>
    <w:p w:rsidR="006828F8" w:rsidRPr="00F16ED0" w:rsidRDefault="006828F8" w:rsidP="006828F8">
      <w:pPr>
        <w:pStyle w:val="ListParagraph"/>
        <w:spacing w:line="480" w:lineRule="auto"/>
        <w:ind w:left="0" w:firstLine="720"/>
        <w:rPr>
          <w:rFonts w:ascii="Times New Roman" w:hAnsi="Times New Roman" w:cs="Times New Roman"/>
          <w:sz w:val="24"/>
          <w:szCs w:val="24"/>
        </w:rPr>
      </w:pPr>
      <w:r w:rsidRPr="00F16ED0">
        <w:rPr>
          <w:rFonts w:ascii="Times New Roman" w:hAnsi="Times New Roman" w:cs="Times New Roman"/>
          <w:sz w:val="24"/>
          <w:szCs w:val="24"/>
        </w:rPr>
        <w:t xml:space="preserve">We must also acknowledge that the source for natural gas is more stable than the wood fueled boiler.  The supply of Osage </w:t>
      </w:r>
      <w:proofErr w:type="gramStart"/>
      <w:r w:rsidRPr="00F16ED0">
        <w:rPr>
          <w:rFonts w:ascii="Times New Roman" w:hAnsi="Times New Roman" w:cs="Times New Roman"/>
          <w:sz w:val="24"/>
          <w:szCs w:val="24"/>
        </w:rPr>
        <w:t>Orange</w:t>
      </w:r>
      <w:proofErr w:type="gramEnd"/>
      <w:r w:rsidRPr="00F16ED0">
        <w:rPr>
          <w:rFonts w:ascii="Times New Roman" w:hAnsi="Times New Roman" w:cs="Times New Roman"/>
          <w:sz w:val="24"/>
          <w:szCs w:val="24"/>
        </w:rPr>
        <w:t xml:space="preserve"> is estimated at 30 years and there are no planned, sustainable sources after 30 years.  </w:t>
      </w:r>
      <w:r w:rsidR="00335F55" w:rsidRPr="00F16ED0">
        <w:rPr>
          <w:rFonts w:ascii="Times New Roman" w:hAnsi="Times New Roman" w:cs="Times New Roman"/>
          <w:sz w:val="24"/>
          <w:szCs w:val="24"/>
        </w:rPr>
        <w:t xml:space="preserve">The trees are deemed invasive by </w:t>
      </w:r>
      <w:proofErr w:type="spellStart"/>
      <w:r w:rsidR="00335F55" w:rsidRPr="00F16ED0">
        <w:rPr>
          <w:rFonts w:ascii="Times New Roman" w:hAnsi="Times New Roman" w:cs="Times New Roman"/>
          <w:sz w:val="24"/>
          <w:szCs w:val="24"/>
        </w:rPr>
        <w:t>Allerton</w:t>
      </w:r>
      <w:proofErr w:type="spellEnd"/>
      <w:r w:rsidR="00335F55" w:rsidRPr="00F16ED0">
        <w:rPr>
          <w:rFonts w:ascii="Times New Roman" w:hAnsi="Times New Roman" w:cs="Times New Roman"/>
          <w:sz w:val="24"/>
          <w:szCs w:val="24"/>
        </w:rPr>
        <w:t xml:space="preserve"> Park and so they can be freely removed, but the replanted trees are native species that will likely not be harvestable.  </w:t>
      </w:r>
    </w:p>
    <w:p w:rsidR="003D0661" w:rsidRPr="00F16ED0" w:rsidRDefault="003D0661" w:rsidP="006828F8">
      <w:pPr>
        <w:pStyle w:val="ListParagraph"/>
        <w:spacing w:line="480" w:lineRule="auto"/>
        <w:ind w:left="0" w:firstLine="720"/>
        <w:rPr>
          <w:rFonts w:ascii="Times New Roman" w:hAnsi="Times New Roman" w:cs="Times New Roman"/>
          <w:sz w:val="24"/>
          <w:szCs w:val="24"/>
        </w:rPr>
      </w:pPr>
      <w:r w:rsidRPr="00F16ED0">
        <w:rPr>
          <w:rFonts w:ascii="Times New Roman" w:hAnsi="Times New Roman" w:cs="Times New Roman"/>
          <w:sz w:val="24"/>
          <w:szCs w:val="24"/>
        </w:rPr>
        <w:t>The cost analysi</w:t>
      </w:r>
      <w:r w:rsidR="00FB0386" w:rsidRPr="00F16ED0">
        <w:rPr>
          <w:rFonts w:ascii="Times New Roman" w:hAnsi="Times New Roman" w:cs="Times New Roman"/>
          <w:sz w:val="24"/>
          <w:szCs w:val="24"/>
        </w:rPr>
        <w:t xml:space="preserve">s also brings into account variables that are not directly tied to operating cost.  For example, the volunteer hours would not necessarily be used on other projects so they may not have the realized value of $20.25 per hour.  This estimate is </w:t>
      </w:r>
      <w:r w:rsidR="00C166B6" w:rsidRPr="00F16ED0">
        <w:rPr>
          <w:rFonts w:ascii="Times New Roman" w:hAnsi="Times New Roman" w:cs="Times New Roman"/>
          <w:sz w:val="24"/>
          <w:szCs w:val="24"/>
        </w:rPr>
        <w:t xml:space="preserve">primarily </w:t>
      </w:r>
      <w:r w:rsidR="00FB0386" w:rsidRPr="00F16ED0">
        <w:rPr>
          <w:rFonts w:ascii="Times New Roman" w:hAnsi="Times New Roman" w:cs="Times New Roman"/>
          <w:sz w:val="24"/>
          <w:szCs w:val="24"/>
        </w:rPr>
        <w:t xml:space="preserve">used to gauge the hidden costs of switching from natural gas to a small-scale wood fueled boiler.  </w:t>
      </w:r>
      <w:r w:rsidR="00C166B6" w:rsidRPr="00F16ED0">
        <w:rPr>
          <w:rFonts w:ascii="Times New Roman" w:hAnsi="Times New Roman" w:cs="Times New Roman"/>
          <w:sz w:val="24"/>
          <w:szCs w:val="24"/>
        </w:rPr>
        <w:t xml:space="preserve">It is not necessarily realized in their annual budget which was one of </w:t>
      </w:r>
      <w:proofErr w:type="spellStart"/>
      <w:r w:rsidR="00C166B6" w:rsidRPr="00F16ED0">
        <w:rPr>
          <w:rFonts w:ascii="Times New Roman" w:hAnsi="Times New Roman" w:cs="Times New Roman"/>
          <w:sz w:val="24"/>
          <w:szCs w:val="24"/>
        </w:rPr>
        <w:t>Allerton’s</w:t>
      </w:r>
      <w:proofErr w:type="spellEnd"/>
      <w:r w:rsidR="00C166B6" w:rsidRPr="00F16ED0">
        <w:rPr>
          <w:rFonts w:ascii="Times New Roman" w:hAnsi="Times New Roman" w:cs="Times New Roman"/>
          <w:sz w:val="24"/>
          <w:szCs w:val="24"/>
        </w:rPr>
        <w:t xml:space="preserve"> original goals, lowering the direct heating costs.</w:t>
      </w:r>
    </w:p>
    <w:p w:rsidR="00C166B6" w:rsidRPr="00F16ED0" w:rsidRDefault="00C166B6" w:rsidP="006828F8">
      <w:pPr>
        <w:pStyle w:val="ListParagraph"/>
        <w:spacing w:line="480" w:lineRule="auto"/>
        <w:ind w:left="0" w:firstLine="720"/>
        <w:rPr>
          <w:rFonts w:ascii="Times New Roman" w:hAnsi="Times New Roman" w:cs="Times New Roman"/>
          <w:sz w:val="24"/>
          <w:szCs w:val="24"/>
        </w:rPr>
      </w:pPr>
      <w:r w:rsidRPr="00F16ED0">
        <w:rPr>
          <w:rFonts w:ascii="Times New Roman" w:hAnsi="Times New Roman" w:cs="Times New Roman"/>
          <w:sz w:val="24"/>
          <w:szCs w:val="24"/>
        </w:rPr>
        <w:t xml:space="preserve">The social cost of carbon is also a variable that would be unlikely to affect direct expenses.  At this point in time the federal government will not reimburse </w:t>
      </w:r>
      <w:proofErr w:type="spellStart"/>
      <w:r w:rsidRPr="00F16ED0">
        <w:rPr>
          <w:rFonts w:ascii="Times New Roman" w:hAnsi="Times New Roman" w:cs="Times New Roman"/>
          <w:sz w:val="24"/>
          <w:szCs w:val="24"/>
        </w:rPr>
        <w:t>Allerton</w:t>
      </w:r>
      <w:proofErr w:type="spellEnd"/>
      <w:r w:rsidRPr="00F16ED0">
        <w:rPr>
          <w:rFonts w:ascii="Times New Roman" w:hAnsi="Times New Roman" w:cs="Times New Roman"/>
          <w:sz w:val="24"/>
          <w:szCs w:val="24"/>
        </w:rPr>
        <w:t xml:space="preserve"> Park for saving 50 tons of CO2 emissions per year. It is possible that there will eventually be a subsidy or related program for wood fueled boilers in the future however this is not included in our analysis today.  </w:t>
      </w:r>
    </w:p>
    <w:p w:rsidR="00C166B6" w:rsidRDefault="00C166B6" w:rsidP="006828F8">
      <w:pPr>
        <w:pStyle w:val="ListParagraph"/>
        <w:spacing w:line="480" w:lineRule="auto"/>
        <w:ind w:left="0" w:firstLine="720"/>
        <w:rPr>
          <w:rFonts w:ascii="Times New Roman" w:hAnsi="Times New Roman" w:cs="Times New Roman"/>
          <w:sz w:val="24"/>
          <w:szCs w:val="24"/>
        </w:rPr>
      </w:pPr>
      <w:r w:rsidRPr="00F16ED0">
        <w:rPr>
          <w:rFonts w:ascii="Times New Roman" w:hAnsi="Times New Roman" w:cs="Times New Roman"/>
          <w:sz w:val="24"/>
          <w:szCs w:val="24"/>
        </w:rPr>
        <w:t xml:space="preserve">This analysis did not look at alternative fuel sources however it is possible that a more efficient heating system exists, from the emissions and cost perspective.  This is dependent on technologies and </w:t>
      </w:r>
      <w:r w:rsidR="00F16ED0" w:rsidRPr="00F16ED0">
        <w:rPr>
          <w:rFonts w:ascii="Times New Roman" w:hAnsi="Times New Roman" w:cs="Times New Roman"/>
          <w:sz w:val="24"/>
          <w:szCs w:val="24"/>
        </w:rPr>
        <w:t>would require further research.</w:t>
      </w:r>
    </w:p>
    <w:p w:rsidR="007B3684" w:rsidRPr="00F16ED0" w:rsidRDefault="007B3684" w:rsidP="006828F8">
      <w:pPr>
        <w:pStyle w:val="ListParagraph"/>
        <w:spacing w:line="480" w:lineRule="auto"/>
        <w:ind w:left="0" w:firstLine="720"/>
        <w:rPr>
          <w:rFonts w:ascii="Times New Roman" w:hAnsi="Times New Roman" w:cs="Times New Roman"/>
          <w:sz w:val="24"/>
          <w:szCs w:val="24"/>
        </w:rPr>
      </w:pPr>
    </w:p>
    <w:p w:rsidR="006828F8" w:rsidRPr="00F16ED0" w:rsidRDefault="006828F8" w:rsidP="006828F8">
      <w:pPr>
        <w:pStyle w:val="ListParagraph"/>
        <w:spacing w:line="480" w:lineRule="auto"/>
        <w:ind w:left="0" w:firstLine="720"/>
        <w:rPr>
          <w:rFonts w:ascii="Times New Roman" w:hAnsi="Times New Roman" w:cs="Times New Roman"/>
          <w:sz w:val="24"/>
          <w:szCs w:val="24"/>
        </w:rPr>
      </w:pPr>
    </w:p>
    <w:p w:rsidR="006C0577" w:rsidRPr="00F16ED0" w:rsidRDefault="006C0577" w:rsidP="006C0577">
      <w:pPr>
        <w:pStyle w:val="ListParagraph"/>
        <w:numPr>
          <w:ilvl w:val="0"/>
          <w:numId w:val="2"/>
        </w:numPr>
        <w:spacing w:line="480" w:lineRule="auto"/>
        <w:rPr>
          <w:rFonts w:ascii="Times New Roman" w:hAnsi="Times New Roman" w:cs="Times New Roman"/>
          <w:b/>
          <w:sz w:val="24"/>
          <w:szCs w:val="24"/>
        </w:rPr>
      </w:pPr>
      <w:r w:rsidRPr="00F16ED0">
        <w:rPr>
          <w:rFonts w:ascii="Times New Roman" w:hAnsi="Times New Roman" w:cs="Times New Roman"/>
          <w:b/>
          <w:sz w:val="24"/>
          <w:szCs w:val="24"/>
        </w:rPr>
        <w:lastRenderedPageBreak/>
        <w:t>Conclusions</w:t>
      </w:r>
    </w:p>
    <w:p w:rsidR="006C0577" w:rsidRPr="00F16ED0" w:rsidRDefault="00F16ED0" w:rsidP="00F16ED0">
      <w:pPr>
        <w:pStyle w:val="ListParagraph"/>
        <w:spacing w:line="480" w:lineRule="auto"/>
        <w:ind w:left="0" w:firstLine="720"/>
        <w:rPr>
          <w:rFonts w:ascii="Times New Roman" w:hAnsi="Times New Roman" w:cs="Times New Roman"/>
          <w:sz w:val="24"/>
          <w:szCs w:val="24"/>
        </w:rPr>
      </w:pPr>
      <w:r w:rsidRPr="00F16ED0">
        <w:rPr>
          <w:rFonts w:ascii="Times New Roman" w:hAnsi="Times New Roman" w:cs="Times New Roman"/>
          <w:sz w:val="24"/>
          <w:szCs w:val="24"/>
        </w:rPr>
        <w:t>In terms of emissions analysis, it is unclear whether or not the wood fueled boiler is superior to the previously installed natural gas system.  The Fine Particulate matter produced by the ECL2300 cannot be definitively shown to be less dangerous than the Carbon Dioxide emissions from the natural gas boilers.  If modeling was done on the area, it is possible that risks could be weighed to determine which technology is superior in terms of emissions.</w:t>
      </w:r>
      <w:r w:rsidR="007B3684">
        <w:rPr>
          <w:rFonts w:ascii="Times New Roman" w:hAnsi="Times New Roman" w:cs="Times New Roman"/>
          <w:sz w:val="24"/>
          <w:szCs w:val="24"/>
        </w:rPr>
        <w:t xml:space="preserve">  </w:t>
      </w:r>
    </w:p>
    <w:p w:rsidR="00F16ED0" w:rsidRDefault="007B3684" w:rsidP="00F16ED0">
      <w:pPr>
        <w:pStyle w:val="ListParagraph"/>
        <w:spacing w:line="480" w:lineRule="auto"/>
        <w:ind w:left="0" w:firstLine="720"/>
        <w:rPr>
          <w:rFonts w:ascii="Times New Roman" w:hAnsi="Times New Roman" w:cs="Times New Roman"/>
        </w:rPr>
      </w:pPr>
      <w:r>
        <w:rPr>
          <w:rFonts w:ascii="Times New Roman" w:hAnsi="Times New Roman" w:cs="Times New Roman"/>
        </w:rPr>
        <w:t>The cost analysis in the research shows that the wood fueled boiler did significantly reduce the natural gas expenditures; however it was not clear that the operational cost was significantly reduced.  The intr</w:t>
      </w:r>
      <w:r w:rsidR="007627CA">
        <w:rPr>
          <w:rFonts w:ascii="Times New Roman" w:hAnsi="Times New Roman" w:cs="Times New Roman"/>
        </w:rPr>
        <w:t xml:space="preserve">oduction of labor costs of fueling the wood boiler confounded the issue because of the value of volunteer hours versus the zero labor costs of natural gas.  If we look at the goal of 45% reduction of heating costs, we can see a success with the first method of analysis, but a failure after including labor and social cost of carbon. </w:t>
      </w:r>
    </w:p>
    <w:p w:rsidR="007627CA" w:rsidRPr="00F16ED0" w:rsidRDefault="007627CA" w:rsidP="00F16ED0">
      <w:pPr>
        <w:pStyle w:val="ListParagraph"/>
        <w:spacing w:line="480" w:lineRule="auto"/>
        <w:ind w:left="0" w:firstLine="720"/>
        <w:rPr>
          <w:rFonts w:ascii="Times New Roman" w:hAnsi="Times New Roman" w:cs="Times New Roman"/>
        </w:rPr>
      </w:pPr>
      <w:r>
        <w:rPr>
          <w:rFonts w:ascii="Times New Roman" w:hAnsi="Times New Roman" w:cs="Times New Roman"/>
        </w:rPr>
        <w:t xml:space="preserve">Although this research may not have </w:t>
      </w:r>
      <w:r w:rsidR="00933765">
        <w:rPr>
          <w:rFonts w:ascii="Times New Roman" w:hAnsi="Times New Roman" w:cs="Times New Roman"/>
        </w:rPr>
        <w:t xml:space="preserve">proven the </w:t>
      </w:r>
      <w:r>
        <w:rPr>
          <w:rFonts w:ascii="Times New Roman" w:hAnsi="Times New Roman" w:cs="Times New Roman"/>
        </w:rPr>
        <w:t xml:space="preserve">sustainability of the wood fueled boiler, the project did accomplish the goals of Green </w:t>
      </w:r>
      <w:proofErr w:type="spellStart"/>
      <w:r>
        <w:rPr>
          <w:rFonts w:ascii="Times New Roman" w:hAnsi="Times New Roman" w:cs="Times New Roman"/>
        </w:rPr>
        <w:t>Allerton</w:t>
      </w:r>
      <w:proofErr w:type="spellEnd"/>
      <w:r>
        <w:rPr>
          <w:rFonts w:ascii="Times New Roman" w:hAnsi="Times New Roman" w:cs="Times New Roman"/>
        </w:rPr>
        <w:t xml:space="preserve">.  The project involved students from the University of Illinois’ Architecture and Natural Resources and Environmental Science departments fulfilling the first Green </w:t>
      </w:r>
      <w:proofErr w:type="spellStart"/>
      <w:r>
        <w:rPr>
          <w:rFonts w:ascii="Times New Roman" w:hAnsi="Times New Roman" w:cs="Times New Roman"/>
        </w:rPr>
        <w:t>Allerton</w:t>
      </w:r>
      <w:proofErr w:type="spellEnd"/>
      <w:r>
        <w:rPr>
          <w:rFonts w:ascii="Times New Roman" w:hAnsi="Times New Roman" w:cs="Times New Roman"/>
        </w:rPr>
        <w:t xml:space="preserve"> goal.  It also diversifies the fuel supply of </w:t>
      </w:r>
      <w:proofErr w:type="spellStart"/>
      <w:r>
        <w:rPr>
          <w:rFonts w:ascii="Times New Roman" w:hAnsi="Times New Roman" w:cs="Times New Roman"/>
        </w:rPr>
        <w:t>Allerton</w:t>
      </w:r>
      <w:proofErr w:type="spellEnd"/>
      <w:r>
        <w:rPr>
          <w:rFonts w:ascii="Times New Roman" w:hAnsi="Times New Roman" w:cs="Times New Roman"/>
        </w:rPr>
        <w:t xml:space="preserve"> Park which leads to a more balanced management of resources on </w:t>
      </w:r>
      <w:proofErr w:type="spellStart"/>
      <w:r>
        <w:rPr>
          <w:rFonts w:ascii="Times New Roman" w:hAnsi="Times New Roman" w:cs="Times New Roman"/>
        </w:rPr>
        <w:t>Allerton</w:t>
      </w:r>
      <w:proofErr w:type="spellEnd"/>
      <w:r>
        <w:rPr>
          <w:rFonts w:ascii="Times New Roman" w:hAnsi="Times New Roman" w:cs="Times New Roman"/>
        </w:rPr>
        <w:t xml:space="preserve">.  </w:t>
      </w:r>
      <w:r w:rsidR="00933765">
        <w:rPr>
          <w:rFonts w:ascii="Times New Roman" w:hAnsi="Times New Roman" w:cs="Times New Roman"/>
        </w:rPr>
        <w:t xml:space="preserve">Finally, it is reasonable to assume that </w:t>
      </w:r>
      <w:proofErr w:type="spellStart"/>
      <w:r w:rsidR="00933765">
        <w:rPr>
          <w:rFonts w:ascii="Times New Roman" w:hAnsi="Times New Roman" w:cs="Times New Roman"/>
        </w:rPr>
        <w:t>Allerton</w:t>
      </w:r>
      <w:proofErr w:type="spellEnd"/>
      <w:r w:rsidR="00933765">
        <w:rPr>
          <w:rFonts w:ascii="Times New Roman" w:hAnsi="Times New Roman" w:cs="Times New Roman"/>
        </w:rPr>
        <w:t xml:space="preserve"> is being a good steward by switching to a zero net carbon source and visitors are gaining an understanding of their relationship to nature by touring the wood fueled boiler.  </w:t>
      </w:r>
      <w:proofErr w:type="spellStart"/>
      <w:r w:rsidR="00933765">
        <w:rPr>
          <w:rFonts w:ascii="Times New Roman" w:hAnsi="Times New Roman" w:cs="Times New Roman"/>
        </w:rPr>
        <w:t>Allerton</w:t>
      </w:r>
      <w:proofErr w:type="spellEnd"/>
      <w:r w:rsidR="00933765">
        <w:rPr>
          <w:rFonts w:ascii="Times New Roman" w:hAnsi="Times New Roman" w:cs="Times New Roman"/>
        </w:rPr>
        <w:t xml:space="preserve"> Park hosts nearly 100,000 visitors per year and the wood fueled boiler is commonly shown on tours.  There are many aspects of this project that cannot be quantified but advance </w:t>
      </w:r>
      <w:proofErr w:type="spellStart"/>
      <w:r w:rsidR="00933765">
        <w:rPr>
          <w:rFonts w:ascii="Times New Roman" w:hAnsi="Times New Roman" w:cs="Times New Roman"/>
        </w:rPr>
        <w:t>Allerton</w:t>
      </w:r>
      <w:proofErr w:type="spellEnd"/>
      <w:r w:rsidR="00933765">
        <w:rPr>
          <w:rFonts w:ascii="Times New Roman" w:hAnsi="Times New Roman" w:cs="Times New Roman"/>
        </w:rPr>
        <w:t xml:space="preserve"> towards their goals.  For this reason the project can be considered a success despite the unclear findings in data.  </w:t>
      </w:r>
    </w:p>
    <w:p w:rsidR="00DF5E20" w:rsidRDefault="00DF5E20" w:rsidP="00933765">
      <w:pPr>
        <w:rPr>
          <w:rFonts w:ascii="Times New Roman" w:hAnsi="Times New Roman" w:cs="Times New Roman"/>
        </w:rPr>
      </w:pPr>
    </w:p>
    <w:p w:rsidR="00933765" w:rsidRDefault="00933765" w:rsidP="00933765">
      <w:pPr>
        <w:rPr>
          <w:rFonts w:ascii="Times New Roman" w:hAnsi="Times New Roman" w:cs="Times New Roman"/>
        </w:rPr>
      </w:pPr>
    </w:p>
    <w:p w:rsidR="00933765" w:rsidRPr="00F16ED0" w:rsidRDefault="00933765" w:rsidP="00933765">
      <w:pPr>
        <w:rPr>
          <w:rFonts w:ascii="Times New Roman" w:hAnsi="Times New Roman" w:cs="Times New Roman"/>
        </w:rPr>
      </w:pPr>
    </w:p>
    <w:p w:rsidR="00DF5E20" w:rsidRPr="00F16ED0" w:rsidRDefault="00DF5E20" w:rsidP="00DF5E20">
      <w:pPr>
        <w:ind w:left="360"/>
        <w:rPr>
          <w:rFonts w:ascii="Times New Roman" w:hAnsi="Times New Roman" w:cs="Times New Roman"/>
        </w:rPr>
      </w:pPr>
      <w:r w:rsidRPr="00F16ED0">
        <w:rPr>
          <w:rFonts w:ascii="Times New Roman" w:hAnsi="Times New Roman" w:cs="Times New Roman"/>
        </w:rPr>
        <w:lastRenderedPageBreak/>
        <w:t>Sources:</w:t>
      </w:r>
    </w:p>
    <w:p w:rsidR="00000000" w:rsidRPr="00F16ED0" w:rsidRDefault="001B0EDC" w:rsidP="00DF5E20">
      <w:pPr>
        <w:numPr>
          <w:ilvl w:val="0"/>
          <w:numId w:val="4"/>
        </w:numPr>
        <w:rPr>
          <w:rFonts w:ascii="Times New Roman" w:hAnsi="Times New Roman" w:cs="Times New Roman"/>
        </w:rPr>
      </w:pPr>
      <w:proofErr w:type="spellStart"/>
      <w:r w:rsidRPr="00F16ED0">
        <w:rPr>
          <w:rFonts w:ascii="Times New Roman" w:hAnsi="Times New Roman" w:cs="Times New Roman"/>
        </w:rPr>
        <w:t>Bernat</w:t>
      </w:r>
      <w:proofErr w:type="spellEnd"/>
      <w:r w:rsidRPr="00F16ED0">
        <w:rPr>
          <w:rFonts w:ascii="Times New Roman" w:hAnsi="Times New Roman" w:cs="Times New Roman"/>
        </w:rPr>
        <w:t>, E. Environmental assessment of small-scale production of wood chips as a fuel for residential heating boilers. Renewable Energy. Feb 2013. 62. 106-115</w:t>
      </w:r>
    </w:p>
    <w:p w:rsidR="00000000" w:rsidRPr="00F16ED0" w:rsidRDefault="001B0EDC" w:rsidP="00DF5E20">
      <w:pPr>
        <w:numPr>
          <w:ilvl w:val="0"/>
          <w:numId w:val="4"/>
        </w:numPr>
        <w:rPr>
          <w:rFonts w:ascii="Times New Roman" w:hAnsi="Times New Roman" w:cs="Times New Roman"/>
        </w:rPr>
      </w:pPr>
      <w:r w:rsidRPr="00F16ED0">
        <w:rPr>
          <w:rFonts w:ascii="Times New Roman" w:hAnsi="Times New Roman" w:cs="Times New Roman"/>
        </w:rPr>
        <w:t>Central Boiler. http://www.centralboiler.com/</w:t>
      </w:r>
    </w:p>
    <w:p w:rsidR="00000000" w:rsidRPr="00F16ED0" w:rsidRDefault="001B0EDC" w:rsidP="00DF5E20">
      <w:pPr>
        <w:numPr>
          <w:ilvl w:val="0"/>
          <w:numId w:val="4"/>
        </w:numPr>
        <w:rPr>
          <w:rFonts w:ascii="Times New Roman" w:hAnsi="Times New Roman" w:cs="Times New Roman"/>
        </w:rPr>
      </w:pPr>
      <w:r w:rsidRPr="00F16ED0">
        <w:rPr>
          <w:rFonts w:ascii="Times New Roman" w:hAnsi="Times New Roman" w:cs="Times New Roman"/>
        </w:rPr>
        <w:t xml:space="preserve">Green </w:t>
      </w:r>
      <w:proofErr w:type="spellStart"/>
      <w:r w:rsidRPr="00F16ED0">
        <w:rPr>
          <w:rFonts w:ascii="Times New Roman" w:hAnsi="Times New Roman" w:cs="Times New Roman"/>
        </w:rPr>
        <w:t>Allerton</w:t>
      </w:r>
      <w:proofErr w:type="spellEnd"/>
      <w:r w:rsidRPr="00F16ED0">
        <w:rPr>
          <w:rFonts w:ascii="Times New Roman" w:hAnsi="Times New Roman" w:cs="Times New Roman"/>
        </w:rPr>
        <w:t xml:space="preserve"> Wood-fired Boiler.  </w:t>
      </w:r>
      <w:proofErr w:type="spellStart"/>
      <w:proofErr w:type="gramStart"/>
      <w:r w:rsidRPr="00F16ED0">
        <w:rPr>
          <w:rFonts w:ascii="Times New Roman" w:hAnsi="Times New Roman" w:cs="Times New Roman"/>
        </w:rPr>
        <w:t>iCAP</w:t>
      </w:r>
      <w:proofErr w:type="spellEnd"/>
      <w:proofErr w:type="gramEnd"/>
      <w:r w:rsidRPr="00F16ED0">
        <w:rPr>
          <w:rFonts w:ascii="Times New Roman" w:hAnsi="Times New Roman" w:cs="Times New Roman"/>
        </w:rPr>
        <w:t xml:space="preserve"> Portal, University of Illinois. http://icap.sustainability. illinois.edu/project/green-</w:t>
      </w:r>
      <w:proofErr w:type="spellStart"/>
      <w:r w:rsidRPr="00F16ED0">
        <w:rPr>
          <w:rFonts w:ascii="Times New Roman" w:hAnsi="Times New Roman" w:cs="Times New Roman"/>
        </w:rPr>
        <w:t>allerton</w:t>
      </w:r>
      <w:proofErr w:type="spellEnd"/>
      <w:r w:rsidRPr="00F16ED0">
        <w:rPr>
          <w:rFonts w:ascii="Times New Roman" w:hAnsi="Times New Roman" w:cs="Times New Roman"/>
        </w:rPr>
        <w:t>-wood-fired-boiler</w:t>
      </w:r>
    </w:p>
    <w:p w:rsidR="00000000" w:rsidRPr="00F16ED0" w:rsidRDefault="001B0EDC" w:rsidP="00DF5E20">
      <w:pPr>
        <w:numPr>
          <w:ilvl w:val="0"/>
          <w:numId w:val="4"/>
        </w:numPr>
        <w:rPr>
          <w:rFonts w:ascii="Times New Roman" w:hAnsi="Times New Roman" w:cs="Times New Roman"/>
        </w:rPr>
      </w:pPr>
      <w:r w:rsidRPr="00F16ED0">
        <w:rPr>
          <w:rFonts w:ascii="Times New Roman" w:hAnsi="Times New Roman" w:cs="Times New Roman"/>
        </w:rPr>
        <w:t>Interview: Derek Peterson</w:t>
      </w:r>
      <w:r w:rsidR="0013069B" w:rsidRPr="00F16ED0">
        <w:rPr>
          <w:rFonts w:ascii="Times New Roman" w:hAnsi="Times New Roman" w:cs="Times New Roman"/>
        </w:rPr>
        <w:t>.  April 11</w:t>
      </w:r>
      <w:r w:rsidR="0013069B" w:rsidRPr="00F16ED0">
        <w:rPr>
          <w:rFonts w:ascii="Times New Roman" w:hAnsi="Times New Roman" w:cs="Times New Roman"/>
          <w:vertAlign w:val="superscript"/>
        </w:rPr>
        <w:t>th</w:t>
      </w:r>
      <w:r w:rsidR="0013069B" w:rsidRPr="00F16ED0">
        <w:rPr>
          <w:rFonts w:ascii="Times New Roman" w:hAnsi="Times New Roman" w:cs="Times New Roman"/>
        </w:rPr>
        <w:t xml:space="preserve"> 2014.</w:t>
      </w:r>
    </w:p>
    <w:p w:rsidR="00000000" w:rsidRPr="00F16ED0" w:rsidRDefault="001B0EDC" w:rsidP="00DF5E20">
      <w:pPr>
        <w:numPr>
          <w:ilvl w:val="0"/>
          <w:numId w:val="4"/>
        </w:numPr>
        <w:rPr>
          <w:rFonts w:ascii="Times New Roman" w:hAnsi="Times New Roman" w:cs="Times New Roman"/>
        </w:rPr>
      </w:pPr>
      <w:proofErr w:type="spellStart"/>
      <w:r w:rsidRPr="00F16ED0">
        <w:rPr>
          <w:rFonts w:ascii="Times New Roman" w:hAnsi="Times New Roman" w:cs="Times New Roman"/>
        </w:rPr>
        <w:t>Kaivosoja</w:t>
      </w:r>
      <w:proofErr w:type="spellEnd"/>
      <w:r w:rsidRPr="00F16ED0">
        <w:rPr>
          <w:rFonts w:ascii="Times New Roman" w:hAnsi="Times New Roman" w:cs="Times New Roman"/>
        </w:rPr>
        <w:t>, T. Comparison of emissions and toxicological properties of fine parti</w:t>
      </w:r>
      <w:r w:rsidRPr="00F16ED0">
        <w:rPr>
          <w:rFonts w:ascii="Times New Roman" w:hAnsi="Times New Roman" w:cs="Times New Roman"/>
        </w:rPr>
        <w:t>cles from </w:t>
      </w:r>
      <w:r w:rsidRPr="00F16ED0">
        <w:rPr>
          <w:rFonts w:ascii="Times New Roman" w:hAnsi="Times New Roman" w:cs="Times New Roman"/>
          <w:b/>
          <w:bCs/>
        </w:rPr>
        <w:t>wood</w:t>
      </w:r>
      <w:r w:rsidRPr="00F16ED0">
        <w:rPr>
          <w:rFonts w:ascii="Times New Roman" w:hAnsi="Times New Roman" w:cs="Times New Roman"/>
        </w:rPr>
        <w:t> and oil </w:t>
      </w:r>
      <w:r w:rsidRPr="00F16ED0">
        <w:rPr>
          <w:rFonts w:ascii="Times New Roman" w:hAnsi="Times New Roman" w:cs="Times New Roman"/>
          <w:b/>
          <w:bCs/>
        </w:rPr>
        <w:t>boilers</w:t>
      </w:r>
      <w:r w:rsidRPr="00F16ED0">
        <w:rPr>
          <w:rFonts w:ascii="Times New Roman" w:hAnsi="Times New Roman" w:cs="Times New Roman"/>
        </w:rPr>
        <w:t> in small (20–25 kW) and medium (5–10 MW) scale.  Atmospheric Environment. Oct 2013. 77, 193-201</w:t>
      </w:r>
    </w:p>
    <w:p w:rsidR="00000000" w:rsidRPr="00F16ED0" w:rsidRDefault="001B0EDC" w:rsidP="00DF5E20">
      <w:pPr>
        <w:numPr>
          <w:ilvl w:val="0"/>
          <w:numId w:val="4"/>
        </w:numPr>
        <w:rPr>
          <w:rFonts w:ascii="Times New Roman" w:hAnsi="Times New Roman" w:cs="Times New Roman"/>
        </w:rPr>
      </w:pPr>
      <w:r w:rsidRPr="00F16ED0">
        <w:rPr>
          <w:rFonts w:ascii="Times New Roman" w:hAnsi="Times New Roman" w:cs="Times New Roman"/>
          <w:bCs/>
        </w:rPr>
        <w:t xml:space="preserve">N. </w:t>
      </w:r>
      <w:proofErr w:type="spellStart"/>
      <w:r w:rsidRPr="00F16ED0">
        <w:rPr>
          <w:rFonts w:ascii="Times New Roman" w:hAnsi="Times New Roman" w:cs="Times New Roman"/>
          <w:bCs/>
        </w:rPr>
        <w:t>Fann</w:t>
      </w:r>
      <w:proofErr w:type="spellEnd"/>
      <w:r w:rsidRPr="00F16ED0">
        <w:rPr>
          <w:rFonts w:ascii="Times New Roman" w:hAnsi="Times New Roman" w:cs="Times New Roman"/>
          <w:bCs/>
        </w:rPr>
        <w:t xml:space="preserve">. 2009. The influence of location, source, and emission type in estimates of the human health benefits of reducing a ton </w:t>
      </w:r>
      <w:r w:rsidRPr="00F16ED0">
        <w:rPr>
          <w:rFonts w:ascii="Times New Roman" w:hAnsi="Times New Roman" w:cs="Times New Roman"/>
          <w:bCs/>
        </w:rPr>
        <w:t>of air pollution. Air Quality and Atmospheric Health.  2(3)169-176</w:t>
      </w:r>
    </w:p>
    <w:p w:rsidR="00000000" w:rsidRPr="00F16ED0" w:rsidRDefault="001B0EDC" w:rsidP="00DF5E20">
      <w:pPr>
        <w:numPr>
          <w:ilvl w:val="0"/>
          <w:numId w:val="4"/>
        </w:numPr>
        <w:rPr>
          <w:rFonts w:ascii="Times New Roman" w:hAnsi="Times New Roman" w:cs="Times New Roman"/>
        </w:rPr>
      </w:pPr>
      <w:r w:rsidRPr="00F16ED0">
        <w:rPr>
          <w:rFonts w:ascii="Times New Roman" w:hAnsi="Times New Roman" w:cs="Times New Roman"/>
        </w:rPr>
        <w:t>University of Illinois Extension: Firewood in Illinois.</w:t>
      </w:r>
      <w:r w:rsidRPr="00F16ED0">
        <w:rPr>
          <w:rFonts w:ascii="Times New Roman" w:hAnsi="Times New Roman" w:cs="Times New Roman"/>
          <w:b/>
          <w:bCs/>
        </w:rPr>
        <w:t xml:space="preserve"> </w:t>
      </w:r>
    </w:p>
    <w:p w:rsidR="00000000" w:rsidRPr="00F16ED0" w:rsidRDefault="001B0EDC" w:rsidP="00DF5E20">
      <w:pPr>
        <w:numPr>
          <w:ilvl w:val="0"/>
          <w:numId w:val="4"/>
        </w:numPr>
        <w:rPr>
          <w:rFonts w:ascii="Times New Roman" w:hAnsi="Times New Roman" w:cs="Times New Roman"/>
        </w:rPr>
      </w:pPr>
      <w:r w:rsidRPr="00F16ED0">
        <w:rPr>
          <w:rFonts w:ascii="Times New Roman" w:hAnsi="Times New Roman" w:cs="Times New Roman"/>
        </w:rPr>
        <w:t>US Forest Service Website</w:t>
      </w:r>
    </w:p>
    <w:p w:rsidR="00000000" w:rsidRPr="00F16ED0" w:rsidRDefault="001B0EDC" w:rsidP="00DF5E20">
      <w:pPr>
        <w:numPr>
          <w:ilvl w:val="0"/>
          <w:numId w:val="4"/>
        </w:numPr>
        <w:rPr>
          <w:rFonts w:ascii="Times New Roman" w:hAnsi="Times New Roman" w:cs="Times New Roman"/>
        </w:rPr>
      </w:pPr>
      <w:r w:rsidRPr="00F16ED0">
        <w:rPr>
          <w:rFonts w:ascii="Times New Roman" w:hAnsi="Times New Roman" w:cs="Times New Roman"/>
        </w:rPr>
        <w:t>U.S. EPA Website</w:t>
      </w:r>
      <w:r w:rsidR="00635FB9">
        <w:rPr>
          <w:rFonts w:ascii="Times New Roman" w:hAnsi="Times New Roman" w:cs="Times New Roman"/>
        </w:rPr>
        <w:t xml:space="preserve">. Social Cost of Carbon 2014. </w:t>
      </w:r>
    </w:p>
    <w:p w:rsidR="00000000" w:rsidRPr="00F16ED0" w:rsidRDefault="001B0EDC" w:rsidP="00DF5E20">
      <w:pPr>
        <w:numPr>
          <w:ilvl w:val="0"/>
          <w:numId w:val="4"/>
        </w:numPr>
        <w:rPr>
          <w:rFonts w:ascii="Times New Roman" w:hAnsi="Times New Roman" w:cs="Times New Roman"/>
        </w:rPr>
      </w:pPr>
      <w:r w:rsidRPr="00F16ED0">
        <w:rPr>
          <w:rFonts w:ascii="Times New Roman" w:hAnsi="Times New Roman" w:cs="Times New Roman"/>
        </w:rPr>
        <w:t>Vermont Certifies E-Classic 2300 Outdoor Wood Furnace.  Industrial Environment. May 2</w:t>
      </w:r>
      <w:r w:rsidRPr="00F16ED0">
        <w:rPr>
          <w:rFonts w:ascii="Times New Roman" w:hAnsi="Times New Roman" w:cs="Times New Roman"/>
        </w:rPr>
        <w:t>008. 19,5,(6-7)</w:t>
      </w:r>
    </w:p>
    <w:p w:rsidR="00DF5E20" w:rsidRPr="00F16ED0" w:rsidRDefault="001B0EDC" w:rsidP="00DF5E20">
      <w:pPr>
        <w:numPr>
          <w:ilvl w:val="0"/>
          <w:numId w:val="4"/>
        </w:numPr>
        <w:rPr>
          <w:rFonts w:ascii="Times New Roman" w:hAnsi="Times New Roman" w:cs="Times New Roman"/>
        </w:rPr>
      </w:pPr>
      <w:r w:rsidRPr="00F16ED0">
        <w:rPr>
          <w:rFonts w:ascii="Times New Roman" w:hAnsi="Times New Roman" w:cs="Times New Roman"/>
        </w:rPr>
        <w:t>Independent Sector. Value of Volunteer Time</w:t>
      </w:r>
    </w:p>
    <w:sectPr w:rsidR="00DF5E20" w:rsidRPr="00F16ED0" w:rsidSect="00DF41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970AD"/>
    <w:multiLevelType w:val="hybridMultilevel"/>
    <w:tmpl w:val="66A8B6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B6610E"/>
    <w:multiLevelType w:val="hybridMultilevel"/>
    <w:tmpl w:val="3C0CFB8C"/>
    <w:lvl w:ilvl="0" w:tplc="BAF86316">
      <w:start w:val="1"/>
      <w:numFmt w:val="bullet"/>
      <w:lvlText w:val=""/>
      <w:lvlJc w:val="left"/>
      <w:pPr>
        <w:tabs>
          <w:tab w:val="num" w:pos="720"/>
        </w:tabs>
        <w:ind w:left="720" w:hanging="360"/>
      </w:pPr>
      <w:rPr>
        <w:rFonts w:ascii="Wingdings 2" w:hAnsi="Wingdings 2" w:hint="default"/>
      </w:rPr>
    </w:lvl>
    <w:lvl w:ilvl="1" w:tplc="AF1C492A" w:tentative="1">
      <w:start w:val="1"/>
      <w:numFmt w:val="bullet"/>
      <w:lvlText w:val=""/>
      <w:lvlJc w:val="left"/>
      <w:pPr>
        <w:tabs>
          <w:tab w:val="num" w:pos="1440"/>
        </w:tabs>
        <w:ind w:left="1440" w:hanging="360"/>
      </w:pPr>
      <w:rPr>
        <w:rFonts w:ascii="Wingdings 2" w:hAnsi="Wingdings 2" w:hint="default"/>
      </w:rPr>
    </w:lvl>
    <w:lvl w:ilvl="2" w:tplc="62B8CB6A" w:tentative="1">
      <w:start w:val="1"/>
      <w:numFmt w:val="bullet"/>
      <w:lvlText w:val=""/>
      <w:lvlJc w:val="left"/>
      <w:pPr>
        <w:tabs>
          <w:tab w:val="num" w:pos="2160"/>
        </w:tabs>
        <w:ind w:left="2160" w:hanging="360"/>
      </w:pPr>
      <w:rPr>
        <w:rFonts w:ascii="Wingdings 2" w:hAnsi="Wingdings 2" w:hint="default"/>
      </w:rPr>
    </w:lvl>
    <w:lvl w:ilvl="3" w:tplc="31747EBC" w:tentative="1">
      <w:start w:val="1"/>
      <w:numFmt w:val="bullet"/>
      <w:lvlText w:val=""/>
      <w:lvlJc w:val="left"/>
      <w:pPr>
        <w:tabs>
          <w:tab w:val="num" w:pos="2880"/>
        </w:tabs>
        <w:ind w:left="2880" w:hanging="360"/>
      </w:pPr>
      <w:rPr>
        <w:rFonts w:ascii="Wingdings 2" w:hAnsi="Wingdings 2" w:hint="default"/>
      </w:rPr>
    </w:lvl>
    <w:lvl w:ilvl="4" w:tplc="9908305C" w:tentative="1">
      <w:start w:val="1"/>
      <w:numFmt w:val="bullet"/>
      <w:lvlText w:val=""/>
      <w:lvlJc w:val="left"/>
      <w:pPr>
        <w:tabs>
          <w:tab w:val="num" w:pos="3600"/>
        </w:tabs>
        <w:ind w:left="3600" w:hanging="360"/>
      </w:pPr>
      <w:rPr>
        <w:rFonts w:ascii="Wingdings 2" w:hAnsi="Wingdings 2" w:hint="default"/>
      </w:rPr>
    </w:lvl>
    <w:lvl w:ilvl="5" w:tplc="B6EAC278" w:tentative="1">
      <w:start w:val="1"/>
      <w:numFmt w:val="bullet"/>
      <w:lvlText w:val=""/>
      <w:lvlJc w:val="left"/>
      <w:pPr>
        <w:tabs>
          <w:tab w:val="num" w:pos="4320"/>
        </w:tabs>
        <w:ind w:left="4320" w:hanging="360"/>
      </w:pPr>
      <w:rPr>
        <w:rFonts w:ascii="Wingdings 2" w:hAnsi="Wingdings 2" w:hint="default"/>
      </w:rPr>
    </w:lvl>
    <w:lvl w:ilvl="6" w:tplc="0B02C116" w:tentative="1">
      <w:start w:val="1"/>
      <w:numFmt w:val="bullet"/>
      <w:lvlText w:val=""/>
      <w:lvlJc w:val="left"/>
      <w:pPr>
        <w:tabs>
          <w:tab w:val="num" w:pos="5040"/>
        </w:tabs>
        <w:ind w:left="5040" w:hanging="360"/>
      </w:pPr>
      <w:rPr>
        <w:rFonts w:ascii="Wingdings 2" w:hAnsi="Wingdings 2" w:hint="default"/>
      </w:rPr>
    </w:lvl>
    <w:lvl w:ilvl="7" w:tplc="1F5A49B0" w:tentative="1">
      <w:start w:val="1"/>
      <w:numFmt w:val="bullet"/>
      <w:lvlText w:val=""/>
      <w:lvlJc w:val="left"/>
      <w:pPr>
        <w:tabs>
          <w:tab w:val="num" w:pos="5760"/>
        </w:tabs>
        <w:ind w:left="5760" w:hanging="360"/>
      </w:pPr>
      <w:rPr>
        <w:rFonts w:ascii="Wingdings 2" w:hAnsi="Wingdings 2" w:hint="default"/>
      </w:rPr>
    </w:lvl>
    <w:lvl w:ilvl="8" w:tplc="3C749412" w:tentative="1">
      <w:start w:val="1"/>
      <w:numFmt w:val="bullet"/>
      <w:lvlText w:val=""/>
      <w:lvlJc w:val="left"/>
      <w:pPr>
        <w:tabs>
          <w:tab w:val="num" w:pos="6480"/>
        </w:tabs>
        <w:ind w:left="6480" w:hanging="360"/>
      </w:pPr>
      <w:rPr>
        <w:rFonts w:ascii="Wingdings 2" w:hAnsi="Wingdings 2" w:hint="default"/>
      </w:rPr>
    </w:lvl>
  </w:abstractNum>
  <w:abstractNum w:abstractNumId="2">
    <w:nsid w:val="3F090366"/>
    <w:multiLevelType w:val="hybridMultilevel"/>
    <w:tmpl w:val="438E0D98"/>
    <w:lvl w:ilvl="0" w:tplc="0409000F">
      <w:start w:val="1"/>
      <w:numFmt w:val="decimal"/>
      <w:lvlText w:val="%1."/>
      <w:lvlJc w:val="left"/>
      <w:pPr>
        <w:tabs>
          <w:tab w:val="num" w:pos="720"/>
        </w:tabs>
        <w:ind w:left="720" w:hanging="360"/>
      </w:pPr>
      <w:rPr>
        <w:rFonts w:hint="default"/>
      </w:rPr>
    </w:lvl>
    <w:lvl w:ilvl="1" w:tplc="AF1C492A" w:tentative="1">
      <w:start w:val="1"/>
      <w:numFmt w:val="bullet"/>
      <w:lvlText w:val=""/>
      <w:lvlJc w:val="left"/>
      <w:pPr>
        <w:tabs>
          <w:tab w:val="num" w:pos="1440"/>
        </w:tabs>
        <w:ind w:left="1440" w:hanging="360"/>
      </w:pPr>
      <w:rPr>
        <w:rFonts w:ascii="Wingdings 2" w:hAnsi="Wingdings 2" w:hint="default"/>
      </w:rPr>
    </w:lvl>
    <w:lvl w:ilvl="2" w:tplc="62B8CB6A" w:tentative="1">
      <w:start w:val="1"/>
      <w:numFmt w:val="bullet"/>
      <w:lvlText w:val=""/>
      <w:lvlJc w:val="left"/>
      <w:pPr>
        <w:tabs>
          <w:tab w:val="num" w:pos="2160"/>
        </w:tabs>
        <w:ind w:left="2160" w:hanging="360"/>
      </w:pPr>
      <w:rPr>
        <w:rFonts w:ascii="Wingdings 2" w:hAnsi="Wingdings 2" w:hint="default"/>
      </w:rPr>
    </w:lvl>
    <w:lvl w:ilvl="3" w:tplc="31747EBC" w:tentative="1">
      <w:start w:val="1"/>
      <w:numFmt w:val="bullet"/>
      <w:lvlText w:val=""/>
      <w:lvlJc w:val="left"/>
      <w:pPr>
        <w:tabs>
          <w:tab w:val="num" w:pos="2880"/>
        </w:tabs>
        <w:ind w:left="2880" w:hanging="360"/>
      </w:pPr>
      <w:rPr>
        <w:rFonts w:ascii="Wingdings 2" w:hAnsi="Wingdings 2" w:hint="default"/>
      </w:rPr>
    </w:lvl>
    <w:lvl w:ilvl="4" w:tplc="9908305C" w:tentative="1">
      <w:start w:val="1"/>
      <w:numFmt w:val="bullet"/>
      <w:lvlText w:val=""/>
      <w:lvlJc w:val="left"/>
      <w:pPr>
        <w:tabs>
          <w:tab w:val="num" w:pos="3600"/>
        </w:tabs>
        <w:ind w:left="3600" w:hanging="360"/>
      </w:pPr>
      <w:rPr>
        <w:rFonts w:ascii="Wingdings 2" w:hAnsi="Wingdings 2" w:hint="default"/>
      </w:rPr>
    </w:lvl>
    <w:lvl w:ilvl="5" w:tplc="B6EAC278" w:tentative="1">
      <w:start w:val="1"/>
      <w:numFmt w:val="bullet"/>
      <w:lvlText w:val=""/>
      <w:lvlJc w:val="left"/>
      <w:pPr>
        <w:tabs>
          <w:tab w:val="num" w:pos="4320"/>
        </w:tabs>
        <w:ind w:left="4320" w:hanging="360"/>
      </w:pPr>
      <w:rPr>
        <w:rFonts w:ascii="Wingdings 2" w:hAnsi="Wingdings 2" w:hint="default"/>
      </w:rPr>
    </w:lvl>
    <w:lvl w:ilvl="6" w:tplc="0B02C116" w:tentative="1">
      <w:start w:val="1"/>
      <w:numFmt w:val="bullet"/>
      <w:lvlText w:val=""/>
      <w:lvlJc w:val="left"/>
      <w:pPr>
        <w:tabs>
          <w:tab w:val="num" w:pos="5040"/>
        </w:tabs>
        <w:ind w:left="5040" w:hanging="360"/>
      </w:pPr>
      <w:rPr>
        <w:rFonts w:ascii="Wingdings 2" w:hAnsi="Wingdings 2" w:hint="default"/>
      </w:rPr>
    </w:lvl>
    <w:lvl w:ilvl="7" w:tplc="1F5A49B0" w:tentative="1">
      <w:start w:val="1"/>
      <w:numFmt w:val="bullet"/>
      <w:lvlText w:val=""/>
      <w:lvlJc w:val="left"/>
      <w:pPr>
        <w:tabs>
          <w:tab w:val="num" w:pos="5760"/>
        </w:tabs>
        <w:ind w:left="5760" w:hanging="360"/>
      </w:pPr>
      <w:rPr>
        <w:rFonts w:ascii="Wingdings 2" w:hAnsi="Wingdings 2" w:hint="default"/>
      </w:rPr>
    </w:lvl>
    <w:lvl w:ilvl="8" w:tplc="3C749412" w:tentative="1">
      <w:start w:val="1"/>
      <w:numFmt w:val="bullet"/>
      <w:lvlText w:val=""/>
      <w:lvlJc w:val="left"/>
      <w:pPr>
        <w:tabs>
          <w:tab w:val="num" w:pos="6480"/>
        </w:tabs>
        <w:ind w:left="6480" w:hanging="360"/>
      </w:pPr>
      <w:rPr>
        <w:rFonts w:ascii="Wingdings 2" w:hAnsi="Wingdings 2" w:hint="default"/>
      </w:rPr>
    </w:lvl>
  </w:abstractNum>
  <w:abstractNum w:abstractNumId="3">
    <w:nsid w:val="6CD4438C"/>
    <w:multiLevelType w:val="hybridMultilevel"/>
    <w:tmpl w:val="323A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37A70"/>
    <w:rsid w:val="000E5D1E"/>
    <w:rsid w:val="0012566C"/>
    <w:rsid w:val="0013069B"/>
    <w:rsid w:val="001B0EDC"/>
    <w:rsid w:val="00335F55"/>
    <w:rsid w:val="00361C45"/>
    <w:rsid w:val="003D0661"/>
    <w:rsid w:val="00472E0E"/>
    <w:rsid w:val="004A72DA"/>
    <w:rsid w:val="005C218C"/>
    <w:rsid w:val="00635FB9"/>
    <w:rsid w:val="006422D2"/>
    <w:rsid w:val="006828F8"/>
    <w:rsid w:val="006C0577"/>
    <w:rsid w:val="007627CA"/>
    <w:rsid w:val="0076631F"/>
    <w:rsid w:val="007B3684"/>
    <w:rsid w:val="007F132A"/>
    <w:rsid w:val="00837A70"/>
    <w:rsid w:val="00857A21"/>
    <w:rsid w:val="008D6947"/>
    <w:rsid w:val="00933765"/>
    <w:rsid w:val="00AE6D73"/>
    <w:rsid w:val="00B213D8"/>
    <w:rsid w:val="00B61315"/>
    <w:rsid w:val="00C166B6"/>
    <w:rsid w:val="00C406D1"/>
    <w:rsid w:val="00CF2C2D"/>
    <w:rsid w:val="00DB7318"/>
    <w:rsid w:val="00DF410A"/>
    <w:rsid w:val="00DF5E20"/>
    <w:rsid w:val="00E70677"/>
    <w:rsid w:val="00EF2C66"/>
    <w:rsid w:val="00F16ED0"/>
    <w:rsid w:val="00FB0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10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A70"/>
    <w:pPr>
      <w:ind w:left="720"/>
      <w:contextualSpacing/>
    </w:pPr>
  </w:style>
  <w:style w:type="paragraph" w:styleId="BalloonText">
    <w:name w:val="Balloon Text"/>
    <w:basedOn w:val="Normal"/>
    <w:link w:val="BalloonTextChar"/>
    <w:uiPriority w:val="99"/>
    <w:semiHidden/>
    <w:unhideWhenUsed/>
    <w:rsid w:val="007F1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3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6179576">
      <w:bodyDiv w:val="1"/>
      <w:marLeft w:val="0"/>
      <w:marRight w:val="0"/>
      <w:marTop w:val="0"/>
      <w:marBottom w:val="0"/>
      <w:divBdr>
        <w:top w:val="none" w:sz="0" w:space="0" w:color="auto"/>
        <w:left w:val="none" w:sz="0" w:space="0" w:color="auto"/>
        <w:bottom w:val="none" w:sz="0" w:space="0" w:color="auto"/>
        <w:right w:val="none" w:sz="0" w:space="0" w:color="auto"/>
      </w:divBdr>
      <w:divsChild>
        <w:div w:id="1821384180">
          <w:marLeft w:val="432"/>
          <w:marRight w:val="0"/>
          <w:marTop w:val="120"/>
          <w:marBottom w:val="0"/>
          <w:divBdr>
            <w:top w:val="none" w:sz="0" w:space="0" w:color="auto"/>
            <w:left w:val="none" w:sz="0" w:space="0" w:color="auto"/>
            <w:bottom w:val="none" w:sz="0" w:space="0" w:color="auto"/>
            <w:right w:val="none" w:sz="0" w:space="0" w:color="auto"/>
          </w:divBdr>
        </w:div>
        <w:div w:id="494339204">
          <w:marLeft w:val="432"/>
          <w:marRight w:val="0"/>
          <w:marTop w:val="120"/>
          <w:marBottom w:val="0"/>
          <w:divBdr>
            <w:top w:val="none" w:sz="0" w:space="0" w:color="auto"/>
            <w:left w:val="none" w:sz="0" w:space="0" w:color="auto"/>
            <w:bottom w:val="none" w:sz="0" w:space="0" w:color="auto"/>
            <w:right w:val="none" w:sz="0" w:space="0" w:color="auto"/>
          </w:divBdr>
        </w:div>
        <w:div w:id="1057821055">
          <w:marLeft w:val="432"/>
          <w:marRight w:val="0"/>
          <w:marTop w:val="120"/>
          <w:marBottom w:val="0"/>
          <w:divBdr>
            <w:top w:val="none" w:sz="0" w:space="0" w:color="auto"/>
            <w:left w:val="none" w:sz="0" w:space="0" w:color="auto"/>
            <w:bottom w:val="none" w:sz="0" w:space="0" w:color="auto"/>
            <w:right w:val="none" w:sz="0" w:space="0" w:color="auto"/>
          </w:divBdr>
        </w:div>
        <w:div w:id="826558312">
          <w:marLeft w:val="432"/>
          <w:marRight w:val="0"/>
          <w:marTop w:val="120"/>
          <w:marBottom w:val="0"/>
          <w:divBdr>
            <w:top w:val="none" w:sz="0" w:space="0" w:color="auto"/>
            <w:left w:val="none" w:sz="0" w:space="0" w:color="auto"/>
            <w:bottom w:val="none" w:sz="0" w:space="0" w:color="auto"/>
            <w:right w:val="none" w:sz="0" w:space="0" w:color="auto"/>
          </w:divBdr>
        </w:div>
        <w:div w:id="247233793">
          <w:marLeft w:val="432"/>
          <w:marRight w:val="0"/>
          <w:marTop w:val="120"/>
          <w:marBottom w:val="0"/>
          <w:divBdr>
            <w:top w:val="none" w:sz="0" w:space="0" w:color="auto"/>
            <w:left w:val="none" w:sz="0" w:space="0" w:color="auto"/>
            <w:bottom w:val="none" w:sz="0" w:space="0" w:color="auto"/>
            <w:right w:val="none" w:sz="0" w:space="0" w:color="auto"/>
          </w:divBdr>
        </w:div>
        <w:div w:id="1256788057">
          <w:marLeft w:val="432"/>
          <w:marRight w:val="0"/>
          <w:marTop w:val="120"/>
          <w:marBottom w:val="0"/>
          <w:divBdr>
            <w:top w:val="none" w:sz="0" w:space="0" w:color="auto"/>
            <w:left w:val="none" w:sz="0" w:space="0" w:color="auto"/>
            <w:bottom w:val="none" w:sz="0" w:space="0" w:color="auto"/>
            <w:right w:val="none" w:sz="0" w:space="0" w:color="auto"/>
          </w:divBdr>
        </w:div>
        <w:div w:id="922640933">
          <w:marLeft w:val="432"/>
          <w:marRight w:val="0"/>
          <w:marTop w:val="120"/>
          <w:marBottom w:val="0"/>
          <w:divBdr>
            <w:top w:val="none" w:sz="0" w:space="0" w:color="auto"/>
            <w:left w:val="none" w:sz="0" w:space="0" w:color="auto"/>
            <w:bottom w:val="none" w:sz="0" w:space="0" w:color="auto"/>
            <w:right w:val="none" w:sz="0" w:space="0" w:color="auto"/>
          </w:divBdr>
        </w:div>
        <w:div w:id="1254896292">
          <w:marLeft w:val="432"/>
          <w:marRight w:val="0"/>
          <w:marTop w:val="120"/>
          <w:marBottom w:val="0"/>
          <w:divBdr>
            <w:top w:val="none" w:sz="0" w:space="0" w:color="auto"/>
            <w:left w:val="none" w:sz="0" w:space="0" w:color="auto"/>
            <w:bottom w:val="none" w:sz="0" w:space="0" w:color="auto"/>
            <w:right w:val="none" w:sz="0" w:space="0" w:color="auto"/>
          </w:divBdr>
        </w:div>
        <w:div w:id="1625848275">
          <w:marLeft w:val="432"/>
          <w:marRight w:val="0"/>
          <w:marTop w:val="120"/>
          <w:marBottom w:val="0"/>
          <w:divBdr>
            <w:top w:val="none" w:sz="0" w:space="0" w:color="auto"/>
            <w:left w:val="none" w:sz="0" w:space="0" w:color="auto"/>
            <w:bottom w:val="none" w:sz="0" w:space="0" w:color="auto"/>
            <w:right w:val="none" w:sz="0" w:space="0" w:color="auto"/>
          </w:divBdr>
        </w:div>
        <w:div w:id="1248199183">
          <w:marLeft w:val="432"/>
          <w:marRight w:val="0"/>
          <w:marTop w:val="120"/>
          <w:marBottom w:val="0"/>
          <w:divBdr>
            <w:top w:val="none" w:sz="0" w:space="0" w:color="auto"/>
            <w:left w:val="none" w:sz="0" w:space="0" w:color="auto"/>
            <w:bottom w:val="none" w:sz="0" w:space="0" w:color="auto"/>
            <w:right w:val="none" w:sz="0" w:space="0" w:color="auto"/>
          </w:divBdr>
        </w:div>
        <w:div w:id="1169287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454A3A-E399-4354-BBC4-491B3AF07385}" type="doc">
      <dgm:prSet loTypeId="urn:microsoft.com/office/officeart/2005/8/layout/process1" loCatId="process" qsTypeId="urn:microsoft.com/office/officeart/2005/8/quickstyle/simple1" qsCatId="simple" csTypeId="urn:microsoft.com/office/officeart/2005/8/colors/accent1_2" csCatId="accent1" phldr="1"/>
      <dgm:spPr/>
    </dgm:pt>
    <dgm:pt modelId="{F462E236-7C6A-48C1-ABF3-5BBAE0F89D40}">
      <dgm:prSet phldrT="[Text]"/>
      <dgm:spPr/>
      <dgm:t>
        <a:bodyPr/>
        <a:lstStyle/>
        <a:p>
          <a:r>
            <a:rPr lang="en-US" dirty="0" smtClean="0"/>
            <a:t>Cords Osage Orange per Year</a:t>
          </a:r>
          <a:endParaRPr lang="en-US" dirty="0"/>
        </a:p>
      </dgm:t>
    </dgm:pt>
    <dgm:pt modelId="{93A5EA95-6614-4757-B034-296362F9D2A8}" type="parTrans" cxnId="{50B87564-C599-460B-A6A0-1582FDF43CF7}">
      <dgm:prSet/>
      <dgm:spPr/>
      <dgm:t>
        <a:bodyPr/>
        <a:lstStyle/>
        <a:p>
          <a:endParaRPr lang="en-US"/>
        </a:p>
      </dgm:t>
    </dgm:pt>
    <dgm:pt modelId="{25C4A447-9B09-45EE-A497-8AAA602F2A71}" type="sibTrans" cxnId="{50B87564-C599-460B-A6A0-1582FDF43CF7}">
      <dgm:prSet/>
      <dgm:spPr/>
      <dgm:t>
        <a:bodyPr/>
        <a:lstStyle/>
        <a:p>
          <a:endParaRPr lang="en-US"/>
        </a:p>
      </dgm:t>
    </dgm:pt>
    <dgm:pt modelId="{B47E3945-12BB-4E1E-916F-E5ADC49A4AE1}">
      <dgm:prSet phldrT="[Text]"/>
      <dgm:spPr/>
      <dgm:t>
        <a:bodyPr/>
        <a:lstStyle/>
        <a:p>
          <a:r>
            <a:rPr lang="en-US" dirty="0" smtClean="0"/>
            <a:t>BTUs per Cord</a:t>
          </a:r>
          <a:endParaRPr lang="en-US" dirty="0"/>
        </a:p>
      </dgm:t>
    </dgm:pt>
    <dgm:pt modelId="{4EA3E7D7-3324-4478-B737-129BE257D115}" type="parTrans" cxnId="{0E541B7B-14FE-4378-AC24-6F8FEB70B934}">
      <dgm:prSet/>
      <dgm:spPr/>
      <dgm:t>
        <a:bodyPr/>
        <a:lstStyle/>
        <a:p>
          <a:endParaRPr lang="en-US"/>
        </a:p>
      </dgm:t>
    </dgm:pt>
    <dgm:pt modelId="{24086FD1-CB5E-4FBA-B625-9BFFA5CB389B}" type="sibTrans" cxnId="{0E541B7B-14FE-4378-AC24-6F8FEB70B934}">
      <dgm:prSet/>
      <dgm:spPr/>
      <dgm:t>
        <a:bodyPr/>
        <a:lstStyle/>
        <a:p>
          <a:endParaRPr lang="en-US"/>
        </a:p>
      </dgm:t>
    </dgm:pt>
    <dgm:pt modelId="{82914CD8-8645-4E51-A6E7-0F38001DBFBB}">
      <dgm:prSet phldrT="[Text]"/>
      <dgm:spPr/>
      <dgm:t>
        <a:bodyPr/>
        <a:lstStyle/>
        <a:p>
          <a:r>
            <a:rPr lang="en-US" dirty="0" smtClean="0"/>
            <a:t>Fine </a:t>
          </a:r>
          <a:r>
            <a:rPr lang="en-US" dirty="0" err="1" smtClean="0"/>
            <a:t>Particlate</a:t>
          </a:r>
          <a:r>
            <a:rPr lang="en-US" dirty="0" smtClean="0"/>
            <a:t> per BTU in ECL 2300</a:t>
          </a:r>
          <a:endParaRPr lang="en-US" dirty="0"/>
        </a:p>
      </dgm:t>
    </dgm:pt>
    <dgm:pt modelId="{58E78C96-0DDC-4D9C-A1AC-B3E48B918EA2}" type="parTrans" cxnId="{1721D1EE-BE5B-4B50-B743-72081BEDBC14}">
      <dgm:prSet/>
      <dgm:spPr/>
      <dgm:t>
        <a:bodyPr/>
        <a:lstStyle/>
        <a:p>
          <a:endParaRPr lang="en-US"/>
        </a:p>
      </dgm:t>
    </dgm:pt>
    <dgm:pt modelId="{92829EF6-1F48-47E1-8C9E-8C675DD1A006}" type="sibTrans" cxnId="{1721D1EE-BE5B-4B50-B743-72081BEDBC14}">
      <dgm:prSet/>
      <dgm:spPr/>
      <dgm:t>
        <a:bodyPr/>
        <a:lstStyle/>
        <a:p>
          <a:endParaRPr lang="en-US"/>
        </a:p>
      </dgm:t>
    </dgm:pt>
    <dgm:pt modelId="{C209C699-167C-4F3B-9B26-1BCCB688352B}">
      <dgm:prSet/>
      <dgm:spPr/>
      <dgm:t>
        <a:bodyPr/>
        <a:lstStyle/>
        <a:p>
          <a:r>
            <a:rPr lang="en-US" dirty="0" smtClean="0"/>
            <a:t>Fine Particles per year</a:t>
          </a:r>
          <a:endParaRPr lang="en-US" dirty="0"/>
        </a:p>
      </dgm:t>
    </dgm:pt>
    <dgm:pt modelId="{D837D25C-5042-42AF-AE99-00929DE9C1B3}" type="parTrans" cxnId="{A072630B-4B3A-4F88-84A4-601BB73E4934}">
      <dgm:prSet/>
      <dgm:spPr/>
      <dgm:t>
        <a:bodyPr/>
        <a:lstStyle/>
        <a:p>
          <a:endParaRPr lang="en-US"/>
        </a:p>
      </dgm:t>
    </dgm:pt>
    <dgm:pt modelId="{DCAE70FC-D2BF-489B-A774-171234FA0A62}" type="sibTrans" cxnId="{A072630B-4B3A-4F88-84A4-601BB73E4934}">
      <dgm:prSet/>
      <dgm:spPr/>
      <dgm:t>
        <a:bodyPr/>
        <a:lstStyle/>
        <a:p>
          <a:endParaRPr lang="en-US"/>
        </a:p>
      </dgm:t>
    </dgm:pt>
    <dgm:pt modelId="{CC8E20D6-66EF-4778-9332-0E5CD2C1D043}" type="pres">
      <dgm:prSet presAssocID="{6F454A3A-E399-4354-BBC4-491B3AF07385}" presName="Name0" presStyleCnt="0">
        <dgm:presLayoutVars>
          <dgm:dir/>
          <dgm:resizeHandles val="exact"/>
        </dgm:presLayoutVars>
      </dgm:prSet>
      <dgm:spPr/>
    </dgm:pt>
    <dgm:pt modelId="{624D6C92-F5FA-42B0-BED8-1F2151A7A226}" type="pres">
      <dgm:prSet presAssocID="{F462E236-7C6A-48C1-ABF3-5BBAE0F89D40}" presName="node" presStyleLbl="node1" presStyleIdx="0" presStyleCnt="4">
        <dgm:presLayoutVars>
          <dgm:bulletEnabled val="1"/>
        </dgm:presLayoutVars>
      </dgm:prSet>
      <dgm:spPr/>
      <dgm:t>
        <a:bodyPr/>
        <a:lstStyle/>
        <a:p>
          <a:endParaRPr lang="en-US"/>
        </a:p>
      </dgm:t>
    </dgm:pt>
    <dgm:pt modelId="{900B7C7D-D7FF-4DC4-B533-DE4355B66362}" type="pres">
      <dgm:prSet presAssocID="{25C4A447-9B09-45EE-A497-8AAA602F2A71}" presName="sibTrans" presStyleLbl="sibTrans2D1" presStyleIdx="0" presStyleCnt="3"/>
      <dgm:spPr/>
      <dgm:t>
        <a:bodyPr/>
        <a:lstStyle/>
        <a:p>
          <a:endParaRPr lang="en-US"/>
        </a:p>
      </dgm:t>
    </dgm:pt>
    <dgm:pt modelId="{7B7DE567-C352-454E-92AC-79E9BA28BDE0}" type="pres">
      <dgm:prSet presAssocID="{25C4A447-9B09-45EE-A497-8AAA602F2A71}" presName="connectorText" presStyleLbl="sibTrans2D1" presStyleIdx="0" presStyleCnt="3"/>
      <dgm:spPr/>
      <dgm:t>
        <a:bodyPr/>
        <a:lstStyle/>
        <a:p>
          <a:endParaRPr lang="en-US"/>
        </a:p>
      </dgm:t>
    </dgm:pt>
    <dgm:pt modelId="{228E32B7-CFA6-4FFD-AAE7-1EF0BE7A942B}" type="pres">
      <dgm:prSet presAssocID="{B47E3945-12BB-4E1E-916F-E5ADC49A4AE1}" presName="node" presStyleLbl="node1" presStyleIdx="1" presStyleCnt="4">
        <dgm:presLayoutVars>
          <dgm:bulletEnabled val="1"/>
        </dgm:presLayoutVars>
      </dgm:prSet>
      <dgm:spPr/>
      <dgm:t>
        <a:bodyPr/>
        <a:lstStyle/>
        <a:p>
          <a:endParaRPr lang="en-US"/>
        </a:p>
      </dgm:t>
    </dgm:pt>
    <dgm:pt modelId="{5D3C0A0D-21D6-4813-848C-F228A29B5D80}" type="pres">
      <dgm:prSet presAssocID="{24086FD1-CB5E-4FBA-B625-9BFFA5CB389B}" presName="sibTrans" presStyleLbl="sibTrans2D1" presStyleIdx="1" presStyleCnt="3"/>
      <dgm:spPr/>
      <dgm:t>
        <a:bodyPr/>
        <a:lstStyle/>
        <a:p>
          <a:endParaRPr lang="en-US"/>
        </a:p>
      </dgm:t>
    </dgm:pt>
    <dgm:pt modelId="{19B2AF9E-B05D-4A55-88C2-5151316E7819}" type="pres">
      <dgm:prSet presAssocID="{24086FD1-CB5E-4FBA-B625-9BFFA5CB389B}" presName="connectorText" presStyleLbl="sibTrans2D1" presStyleIdx="1" presStyleCnt="3"/>
      <dgm:spPr/>
      <dgm:t>
        <a:bodyPr/>
        <a:lstStyle/>
        <a:p>
          <a:endParaRPr lang="en-US"/>
        </a:p>
      </dgm:t>
    </dgm:pt>
    <dgm:pt modelId="{FA60E37C-F377-4126-BD17-14262B984169}" type="pres">
      <dgm:prSet presAssocID="{82914CD8-8645-4E51-A6E7-0F38001DBFBB}" presName="node" presStyleLbl="node1" presStyleIdx="2" presStyleCnt="4" custScaleX="112947">
        <dgm:presLayoutVars>
          <dgm:bulletEnabled val="1"/>
        </dgm:presLayoutVars>
      </dgm:prSet>
      <dgm:spPr/>
      <dgm:t>
        <a:bodyPr/>
        <a:lstStyle/>
        <a:p>
          <a:endParaRPr lang="en-US"/>
        </a:p>
      </dgm:t>
    </dgm:pt>
    <dgm:pt modelId="{64FC5424-FC1C-4F2D-A373-0D81D5B9FA6C}" type="pres">
      <dgm:prSet presAssocID="{92829EF6-1F48-47E1-8C9E-8C675DD1A006}" presName="sibTrans" presStyleLbl="sibTrans2D1" presStyleIdx="2" presStyleCnt="3"/>
      <dgm:spPr/>
      <dgm:t>
        <a:bodyPr/>
        <a:lstStyle/>
        <a:p>
          <a:endParaRPr lang="en-US"/>
        </a:p>
      </dgm:t>
    </dgm:pt>
    <dgm:pt modelId="{82686003-E116-40F3-9C90-F647E0E29987}" type="pres">
      <dgm:prSet presAssocID="{92829EF6-1F48-47E1-8C9E-8C675DD1A006}" presName="connectorText" presStyleLbl="sibTrans2D1" presStyleIdx="2" presStyleCnt="3"/>
      <dgm:spPr/>
      <dgm:t>
        <a:bodyPr/>
        <a:lstStyle/>
        <a:p>
          <a:endParaRPr lang="en-US"/>
        </a:p>
      </dgm:t>
    </dgm:pt>
    <dgm:pt modelId="{0D0FC47A-5E71-4963-9EFE-BF4EEFB33B24}" type="pres">
      <dgm:prSet presAssocID="{C209C699-167C-4F3B-9B26-1BCCB688352B}" presName="node" presStyleLbl="node1" presStyleIdx="3" presStyleCnt="4">
        <dgm:presLayoutVars>
          <dgm:bulletEnabled val="1"/>
        </dgm:presLayoutVars>
      </dgm:prSet>
      <dgm:spPr/>
      <dgm:t>
        <a:bodyPr/>
        <a:lstStyle/>
        <a:p>
          <a:endParaRPr lang="en-US"/>
        </a:p>
      </dgm:t>
    </dgm:pt>
  </dgm:ptLst>
  <dgm:cxnLst>
    <dgm:cxn modelId="{E2DDBF83-A1FD-4320-8D0D-B89740792DFA}" type="presOf" srcId="{25C4A447-9B09-45EE-A497-8AAA602F2A71}" destId="{900B7C7D-D7FF-4DC4-B533-DE4355B66362}" srcOrd="0" destOrd="0" presId="urn:microsoft.com/office/officeart/2005/8/layout/process1"/>
    <dgm:cxn modelId="{5DBC2C13-4879-45C1-B43B-C0BA0F8A5900}" type="presOf" srcId="{C209C699-167C-4F3B-9B26-1BCCB688352B}" destId="{0D0FC47A-5E71-4963-9EFE-BF4EEFB33B24}" srcOrd="0" destOrd="0" presId="urn:microsoft.com/office/officeart/2005/8/layout/process1"/>
    <dgm:cxn modelId="{B939588B-A209-4BFC-9E8B-D191E492D69A}" type="presOf" srcId="{24086FD1-CB5E-4FBA-B625-9BFFA5CB389B}" destId="{19B2AF9E-B05D-4A55-88C2-5151316E7819}" srcOrd="1" destOrd="0" presId="urn:microsoft.com/office/officeart/2005/8/layout/process1"/>
    <dgm:cxn modelId="{1721D1EE-BE5B-4B50-B743-72081BEDBC14}" srcId="{6F454A3A-E399-4354-BBC4-491B3AF07385}" destId="{82914CD8-8645-4E51-A6E7-0F38001DBFBB}" srcOrd="2" destOrd="0" parTransId="{58E78C96-0DDC-4D9C-A1AC-B3E48B918EA2}" sibTransId="{92829EF6-1F48-47E1-8C9E-8C675DD1A006}"/>
    <dgm:cxn modelId="{28C091FB-3DD4-4B91-A2B9-573A091E6373}" type="presOf" srcId="{82914CD8-8645-4E51-A6E7-0F38001DBFBB}" destId="{FA60E37C-F377-4126-BD17-14262B984169}" srcOrd="0" destOrd="0" presId="urn:microsoft.com/office/officeart/2005/8/layout/process1"/>
    <dgm:cxn modelId="{7E245B5C-B04D-4BF9-9323-019811668DA4}" type="presOf" srcId="{B47E3945-12BB-4E1E-916F-E5ADC49A4AE1}" destId="{228E32B7-CFA6-4FFD-AAE7-1EF0BE7A942B}" srcOrd="0" destOrd="0" presId="urn:microsoft.com/office/officeart/2005/8/layout/process1"/>
    <dgm:cxn modelId="{B3FEC21F-B41C-4A76-BC9A-D149C2832AFE}" type="presOf" srcId="{24086FD1-CB5E-4FBA-B625-9BFFA5CB389B}" destId="{5D3C0A0D-21D6-4813-848C-F228A29B5D80}" srcOrd="0" destOrd="0" presId="urn:microsoft.com/office/officeart/2005/8/layout/process1"/>
    <dgm:cxn modelId="{B2AC42E2-F3F5-4998-8CA0-8416AB942ECB}" type="presOf" srcId="{25C4A447-9B09-45EE-A497-8AAA602F2A71}" destId="{7B7DE567-C352-454E-92AC-79E9BA28BDE0}" srcOrd="1" destOrd="0" presId="urn:microsoft.com/office/officeart/2005/8/layout/process1"/>
    <dgm:cxn modelId="{2D34CACB-4E37-4DF5-9391-E2BAA764A4BA}" type="presOf" srcId="{6F454A3A-E399-4354-BBC4-491B3AF07385}" destId="{CC8E20D6-66EF-4778-9332-0E5CD2C1D043}" srcOrd="0" destOrd="0" presId="urn:microsoft.com/office/officeart/2005/8/layout/process1"/>
    <dgm:cxn modelId="{53C63E83-A17D-4535-A827-216DAE53CD92}" type="presOf" srcId="{92829EF6-1F48-47E1-8C9E-8C675DD1A006}" destId="{64FC5424-FC1C-4F2D-A373-0D81D5B9FA6C}" srcOrd="0" destOrd="0" presId="urn:microsoft.com/office/officeart/2005/8/layout/process1"/>
    <dgm:cxn modelId="{DFAC2D82-59B1-4ABF-9C57-CEB3D7BA647C}" type="presOf" srcId="{92829EF6-1F48-47E1-8C9E-8C675DD1A006}" destId="{82686003-E116-40F3-9C90-F647E0E29987}" srcOrd="1" destOrd="0" presId="urn:microsoft.com/office/officeart/2005/8/layout/process1"/>
    <dgm:cxn modelId="{313A13E8-ED5F-40D7-BED4-C1D0AFE9B02E}" type="presOf" srcId="{F462E236-7C6A-48C1-ABF3-5BBAE0F89D40}" destId="{624D6C92-F5FA-42B0-BED8-1F2151A7A226}" srcOrd="0" destOrd="0" presId="urn:microsoft.com/office/officeart/2005/8/layout/process1"/>
    <dgm:cxn modelId="{A072630B-4B3A-4F88-84A4-601BB73E4934}" srcId="{6F454A3A-E399-4354-BBC4-491B3AF07385}" destId="{C209C699-167C-4F3B-9B26-1BCCB688352B}" srcOrd="3" destOrd="0" parTransId="{D837D25C-5042-42AF-AE99-00929DE9C1B3}" sibTransId="{DCAE70FC-D2BF-489B-A774-171234FA0A62}"/>
    <dgm:cxn modelId="{0E541B7B-14FE-4378-AC24-6F8FEB70B934}" srcId="{6F454A3A-E399-4354-BBC4-491B3AF07385}" destId="{B47E3945-12BB-4E1E-916F-E5ADC49A4AE1}" srcOrd="1" destOrd="0" parTransId="{4EA3E7D7-3324-4478-B737-129BE257D115}" sibTransId="{24086FD1-CB5E-4FBA-B625-9BFFA5CB389B}"/>
    <dgm:cxn modelId="{50B87564-C599-460B-A6A0-1582FDF43CF7}" srcId="{6F454A3A-E399-4354-BBC4-491B3AF07385}" destId="{F462E236-7C6A-48C1-ABF3-5BBAE0F89D40}" srcOrd="0" destOrd="0" parTransId="{93A5EA95-6614-4757-B034-296362F9D2A8}" sibTransId="{25C4A447-9B09-45EE-A497-8AAA602F2A71}"/>
    <dgm:cxn modelId="{9A98C732-C617-4D32-877A-E58691DA70B6}" type="presParOf" srcId="{CC8E20D6-66EF-4778-9332-0E5CD2C1D043}" destId="{624D6C92-F5FA-42B0-BED8-1F2151A7A226}" srcOrd="0" destOrd="0" presId="urn:microsoft.com/office/officeart/2005/8/layout/process1"/>
    <dgm:cxn modelId="{146CEDBC-8ED7-4D8C-A67F-F7D8B423CBCC}" type="presParOf" srcId="{CC8E20D6-66EF-4778-9332-0E5CD2C1D043}" destId="{900B7C7D-D7FF-4DC4-B533-DE4355B66362}" srcOrd="1" destOrd="0" presId="urn:microsoft.com/office/officeart/2005/8/layout/process1"/>
    <dgm:cxn modelId="{2F38DC96-0825-479E-AF64-DD641D3EA2EC}" type="presParOf" srcId="{900B7C7D-D7FF-4DC4-B533-DE4355B66362}" destId="{7B7DE567-C352-454E-92AC-79E9BA28BDE0}" srcOrd="0" destOrd="0" presId="urn:microsoft.com/office/officeart/2005/8/layout/process1"/>
    <dgm:cxn modelId="{915F508C-493F-4238-8FFE-429B06179755}" type="presParOf" srcId="{CC8E20D6-66EF-4778-9332-0E5CD2C1D043}" destId="{228E32B7-CFA6-4FFD-AAE7-1EF0BE7A942B}" srcOrd="2" destOrd="0" presId="urn:microsoft.com/office/officeart/2005/8/layout/process1"/>
    <dgm:cxn modelId="{95720AD0-15A5-46C6-A8C7-BE48BF4C834C}" type="presParOf" srcId="{CC8E20D6-66EF-4778-9332-0E5CD2C1D043}" destId="{5D3C0A0D-21D6-4813-848C-F228A29B5D80}" srcOrd="3" destOrd="0" presId="urn:microsoft.com/office/officeart/2005/8/layout/process1"/>
    <dgm:cxn modelId="{C1121A69-B722-4AB9-BB6C-9A98D3AC8B51}" type="presParOf" srcId="{5D3C0A0D-21D6-4813-848C-F228A29B5D80}" destId="{19B2AF9E-B05D-4A55-88C2-5151316E7819}" srcOrd="0" destOrd="0" presId="urn:microsoft.com/office/officeart/2005/8/layout/process1"/>
    <dgm:cxn modelId="{03704EC4-B88C-43B8-8F5F-46E6A64F8097}" type="presParOf" srcId="{CC8E20D6-66EF-4778-9332-0E5CD2C1D043}" destId="{FA60E37C-F377-4126-BD17-14262B984169}" srcOrd="4" destOrd="0" presId="urn:microsoft.com/office/officeart/2005/8/layout/process1"/>
    <dgm:cxn modelId="{A830BB84-4145-4219-BBDE-694CCF63DC68}" type="presParOf" srcId="{CC8E20D6-66EF-4778-9332-0E5CD2C1D043}" destId="{64FC5424-FC1C-4F2D-A373-0D81D5B9FA6C}" srcOrd="5" destOrd="0" presId="urn:microsoft.com/office/officeart/2005/8/layout/process1"/>
    <dgm:cxn modelId="{E0F024BE-A6ED-4542-BC26-691E4958BD17}" type="presParOf" srcId="{64FC5424-FC1C-4F2D-A373-0D81D5B9FA6C}" destId="{82686003-E116-40F3-9C90-F647E0E29987}" srcOrd="0" destOrd="0" presId="urn:microsoft.com/office/officeart/2005/8/layout/process1"/>
    <dgm:cxn modelId="{E23956FE-118C-45AD-82AA-8AAD4F16E28D}" type="presParOf" srcId="{CC8E20D6-66EF-4778-9332-0E5CD2C1D043}" destId="{0D0FC47A-5E71-4963-9EFE-BF4EEFB33B24}" srcOrd="6" destOrd="0" presId="urn:microsoft.com/office/officeart/2005/8/layout/process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24D6C92-F5FA-42B0-BED8-1F2151A7A226}">
      <dsp:nvSpPr>
        <dsp:cNvPr id="0" name=""/>
        <dsp:cNvSpPr/>
      </dsp:nvSpPr>
      <dsp:spPr>
        <a:xfrm>
          <a:off x="1940" y="18303"/>
          <a:ext cx="1004411" cy="10263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dirty="0" smtClean="0"/>
            <a:t>Cords Osage Orange per Year</a:t>
          </a:r>
          <a:endParaRPr lang="en-US" sz="1500" kern="1200" dirty="0"/>
        </a:p>
      </dsp:txBody>
      <dsp:txXfrm>
        <a:off x="1940" y="18303"/>
        <a:ext cx="1004411" cy="1026382"/>
      </dsp:txXfrm>
    </dsp:sp>
    <dsp:sp modelId="{900B7C7D-D7FF-4DC4-B533-DE4355B66362}">
      <dsp:nvSpPr>
        <dsp:cNvPr id="0" name=""/>
        <dsp:cNvSpPr/>
      </dsp:nvSpPr>
      <dsp:spPr>
        <a:xfrm>
          <a:off x="1106792" y="406948"/>
          <a:ext cx="212935" cy="2490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106792" y="406948"/>
        <a:ext cx="212935" cy="249093"/>
      </dsp:txXfrm>
    </dsp:sp>
    <dsp:sp modelId="{228E32B7-CFA6-4FFD-AAE7-1EF0BE7A942B}">
      <dsp:nvSpPr>
        <dsp:cNvPr id="0" name=""/>
        <dsp:cNvSpPr/>
      </dsp:nvSpPr>
      <dsp:spPr>
        <a:xfrm>
          <a:off x="1408115" y="18303"/>
          <a:ext cx="1004411" cy="10263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dirty="0" smtClean="0"/>
            <a:t>BTUs per Cord</a:t>
          </a:r>
          <a:endParaRPr lang="en-US" sz="1500" kern="1200" dirty="0"/>
        </a:p>
      </dsp:txBody>
      <dsp:txXfrm>
        <a:off x="1408115" y="18303"/>
        <a:ext cx="1004411" cy="1026382"/>
      </dsp:txXfrm>
    </dsp:sp>
    <dsp:sp modelId="{5D3C0A0D-21D6-4813-848C-F228A29B5D80}">
      <dsp:nvSpPr>
        <dsp:cNvPr id="0" name=""/>
        <dsp:cNvSpPr/>
      </dsp:nvSpPr>
      <dsp:spPr>
        <a:xfrm>
          <a:off x="2512968" y="406948"/>
          <a:ext cx="212935" cy="2490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2512968" y="406948"/>
        <a:ext cx="212935" cy="249093"/>
      </dsp:txXfrm>
    </dsp:sp>
    <dsp:sp modelId="{FA60E37C-F377-4126-BD17-14262B984169}">
      <dsp:nvSpPr>
        <dsp:cNvPr id="0" name=""/>
        <dsp:cNvSpPr/>
      </dsp:nvSpPr>
      <dsp:spPr>
        <a:xfrm>
          <a:off x="2814291" y="18303"/>
          <a:ext cx="1134452" cy="10263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dirty="0" smtClean="0"/>
            <a:t>Fine </a:t>
          </a:r>
          <a:r>
            <a:rPr lang="en-US" sz="1500" kern="1200" dirty="0" err="1" smtClean="0"/>
            <a:t>Particlate</a:t>
          </a:r>
          <a:r>
            <a:rPr lang="en-US" sz="1500" kern="1200" dirty="0" smtClean="0"/>
            <a:t> per BTU in ECL 2300</a:t>
          </a:r>
          <a:endParaRPr lang="en-US" sz="1500" kern="1200" dirty="0"/>
        </a:p>
      </dsp:txBody>
      <dsp:txXfrm>
        <a:off x="2814291" y="18303"/>
        <a:ext cx="1134452" cy="1026382"/>
      </dsp:txXfrm>
    </dsp:sp>
    <dsp:sp modelId="{64FC5424-FC1C-4F2D-A373-0D81D5B9FA6C}">
      <dsp:nvSpPr>
        <dsp:cNvPr id="0" name=""/>
        <dsp:cNvSpPr/>
      </dsp:nvSpPr>
      <dsp:spPr>
        <a:xfrm>
          <a:off x="4049185" y="406948"/>
          <a:ext cx="212935" cy="2490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4049185" y="406948"/>
        <a:ext cx="212935" cy="249093"/>
      </dsp:txXfrm>
    </dsp:sp>
    <dsp:sp modelId="{0D0FC47A-5E71-4963-9EFE-BF4EEFB33B24}">
      <dsp:nvSpPr>
        <dsp:cNvPr id="0" name=""/>
        <dsp:cNvSpPr/>
      </dsp:nvSpPr>
      <dsp:spPr>
        <a:xfrm>
          <a:off x="4350508" y="18303"/>
          <a:ext cx="1004411" cy="10263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dirty="0" smtClean="0"/>
            <a:t>Fine Particles per year</a:t>
          </a:r>
          <a:endParaRPr lang="en-US" sz="1500" kern="1200" dirty="0"/>
        </a:p>
      </dsp:txBody>
      <dsp:txXfrm>
        <a:off x="4350508" y="18303"/>
        <a:ext cx="1004411" cy="10263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3</cp:revision>
  <dcterms:created xsi:type="dcterms:W3CDTF">2014-05-08T23:15:00Z</dcterms:created>
  <dcterms:modified xsi:type="dcterms:W3CDTF">2014-05-08T23:27:00Z</dcterms:modified>
</cp:coreProperties>
</file>