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Activities</w:t>
      </w:r>
      <w:r w:rsidDel="00000000" w:rsidR="00000000" w:rsidRPr="00000000">
        <w:rPr>
          <w:color w:val="1f3864"/>
          <w:rtl w:val="0"/>
        </w:rPr>
        <w:t xml:space="preserve"> for the remainder of the 2019–2020 academic year.</w:t>
      </w:r>
    </w:p>
    <w:p w:rsidR="00000000" w:rsidDel="00000000" w:rsidP="00000000" w:rsidRDefault="00000000" w:rsidRPr="00000000" w14:paraId="00000002">
      <w:pPr>
        <w:pStyle w:val="Heading2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Act on major objectives. May require participation by others. Assign initiatives to SWATeam members and those members will develop a subcommittee of members and non-members. Report at each committee meeting.</w:t>
      </w:r>
    </w:p>
    <w:p w:rsidR="00000000" w:rsidDel="00000000" w:rsidP="00000000" w:rsidRDefault="00000000" w:rsidRPr="00000000" w14:paraId="00000003">
      <w:pPr>
        <w:spacing w:after="0" w:lineRule="auto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7"/>
        </w:numPr>
        <w:ind w:left="284" w:hanging="284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Master Plan. (Lead: Michael Reiter)</w:t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4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Determine standing of Reifsteck plan.</w:t>
      </w:r>
    </w:p>
    <w:p w:rsidR="00000000" w:rsidDel="00000000" w:rsidP="00000000" w:rsidRDefault="00000000" w:rsidRPr="00000000" w14:paraId="00000006">
      <w:pPr>
        <w:pStyle w:val="Heading3"/>
        <w:numPr>
          <w:ilvl w:val="0"/>
          <w:numId w:val="4"/>
        </w:numPr>
        <w:ind w:left="709" w:hanging="294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Outline range of scenarios for meeting iCAP goal. Suggestions:</w:t>
      </w:r>
    </w:p>
    <w:p w:rsidR="00000000" w:rsidDel="00000000" w:rsidP="00000000" w:rsidRDefault="00000000" w:rsidRPr="00000000" w14:paraId="00000007">
      <w:pPr>
        <w:pStyle w:val="Heading4"/>
        <w:numPr>
          <w:ilvl w:val="0"/>
          <w:numId w:val="2"/>
        </w:numPr>
        <w:ind w:left="1276" w:hanging="425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Conservation + Renewables (1, 2 or 3 scenarios?)</w:t>
      </w:r>
    </w:p>
    <w:p w:rsidR="00000000" w:rsidDel="00000000" w:rsidP="00000000" w:rsidRDefault="00000000" w:rsidRPr="00000000" w14:paraId="00000008">
      <w:pPr>
        <w:pStyle w:val="Heading4"/>
        <w:numPr>
          <w:ilvl w:val="0"/>
          <w:numId w:val="2"/>
        </w:numPr>
        <w:ind w:left="1276" w:hanging="425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Micro Modular Nuclear Reactors (MMR)</w:t>
      </w:r>
    </w:p>
    <w:p w:rsidR="00000000" w:rsidDel="00000000" w:rsidP="00000000" w:rsidRDefault="00000000" w:rsidRPr="00000000" w14:paraId="00000009">
      <w:pPr>
        <w:pStyle w:val="Heading4"/>
        <w:numPr>
          <w:ilvl w:val="0"/>
          <w:numId w:val="2"/>
        </w:numPr>
        <w:ind w:left="1276" w:hanging="425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Allocation reduction</w:t>
      </w:r>
    </w:p>
    <w:p w:rsidR="00000000" w:rsidDel="00000000" w:rsidP="00000000" w:rsidRDefault="00000000" w:rsidRPr="00000000" w14:paraId="0000000A">
      <w:pPr>
        <w:pStyle w:val="Heading4"/>
        <w:numPr>
          <w:ilvl w:val="0"/>
          <w:numId w:val="2"/>
        </w:numPr>
        <w:ind w:left="1276" w:hanging="425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Other?</w:t>
      </w:r>
    </w:p>
    <w:p w:rsidR="00000000" w:rsidDel="00000000" w:rsidP="00000000" w:rsidRDefault="00000000" w:rsidRPr="00000000" w14:paraId="0000000B">
      <w:pPr>
        <w:pStyle w:val="Heading3"/>
        <w:numPr>
          <w:ilvl w:val="1"/>
          <w:numId w:val="8"/>
        </w:numPr>
        <w:ind w:left="720" w:hanging="294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Determine qualification for engineering firm. Estimate budget and schedule.</w:t>
      </w:r>
    </w:p>
    <w:p w:rsidR="00000000" w:rsidDel="00000000" w:rsidP="00000000" w:rsidRDefault="00000000" w:rsidRPr="00000000" w14:paraId="0000000C">
      <w:pPr>
        <w:pStyle w:val="Heading3"/>
        <w:numPr>
          <w:ilvl w:val="1"/>
          <w:numId w:val="8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Write project scope.</w:t>
      </w:r>
    </w:p>
    <w:p w:rsidR="00000000" w:rsidDel="00000000" w:rsidP="00000000" w:rsidRDefault="00000000" w:rsidRPr="00000000" w14:paraId="0000000D">
      <w:pPr>
        <w:pStyle w:val="Heading3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numPr>
          <w:ilvl w:val="0"/>
          <w:numId w:val="7"/>
        </w:numPr>
        <w:ind w:left="426" w:hanging="426"/>
        <w:rPr>
          <w:color w:val="1f3864"/>
          <w:sz w:val="26"/>
          <w:szCs w:val="26"/>
        </w:rPr>
      </w:pPr>
      <w:r w:rsidDel="00000000" w:rsidR="00000000" w:rsidRPr="00000000">
        <w:rPr>
          <w:color w:val="1f3864"/>
          <w:sz w:val="26"/>
          <w:szCs w:val="26"/>
          <w:rtl w:val="0"/>
        </w:rPr>
        <w:t xml:space="preserve">MMR. (Lead: Mike Larson)</w:t>
      </w:r>
    </w:p>
    <w:p w:rsidR="00000000" w:rsidDel="00000000" w:rsidP="00000000" w:rsidRDefault="00000000" w:rsidRPr="00000000" w14:paraId="0000000F">
      <w:pPr>
        <w:pStyle w:val="Heading3"/>
        <w:numPr>
          <w:ilvl w:val="2"/>
          <w:numId w:val="10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Continue feasibility study with faculty.</w:t>
      </w:r>
    </w:p>
    <w:p w:rsidR="00000000" w:rsidDel="00000000" w:rsidP="00000000" w:rsidRDefault="00000000" w:rsidRPr="00000000" w14:paraId="00000010">
      <w:pPr>
        <w:pStyle w:val="Heading3"/>
        <w:numPr>
          <w:ilvl w:val="2"/>
          <w:numId w:val="10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Engage students?</w:t>
      </w:r>
    </w:p>
    <w:p w:rsidR="00000000" w:rsidDel="00000000" w:rsidP="00000000" w:rsidRDefault="00000000" w:rsidRPr="00000000" w14:paraId="00000011">
      <w:pPr>
        <w:pStyle w:val="Heading2"/>
        <w:ind w:left="284"/>
        <w:rPr>
          <w:rFonts w:ascii="Calibri" w:cs="Calibri" w:eastAsia="Calibri" w:hAnsi="Calibri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7"/>
        </w:numPr>
        <w:ind w:left="284" w:hanging="284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Underground Thermal Batteries. (Lead: Andrew Stumpf)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  <w:rtl w:val="0"/>
        </w:rPr>
        <w:t xml:space="preserve">Prototype will be installed at Energy Farm in Spring 2020.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  <w:rtl w:val="0"/>
        </w:rPr>
        <w:t xml:space="preserve">Conduct feasibility study of multi-battery system with faculty and DOE.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  <w:rtl w:val="0"/>
        </w:rPr>
        <w:t xml:space="preserve">Engage students. </w:t>
      </w:r>
    </w:p>
    <w:p w:rsidR="00000000" w:rsidDel="00000000" w:rsidP="00000000" w:rsidRDefault="00000000" w:rsidRPr="00000000" w14:paraId="00000016">
      <w:pPr>
        <w:pStyle w:val="Heading2"/>
        <w:ind w:left="284" w:hanging="284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4.</w:t>
        <w:tab/>
        <w:t xml:space="preserve">Retrocommissioning. (Lead: Karl Helmink)</w:t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1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Prepare recommendation.</w:t>
      </w:r>
    </w:p>
    <w:p w:rsidR="00000000" w:rsidDel="00000000" w:rsidP="00000000" w:rsidRDefault="00000000" w:rsidRPr="00000000" w14:paraId="00000018">
      <w:pPr>
        <w:pStyle w:val="Heading3"/>
        <w:numPr>
          <w:ilvl w:val="0"/>
          <w:numId w:val="1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Estimate needed funding.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libri" w:cs="Calibri" w:eastAsia="Calibri" w:hAnsi="Calibri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ind w:left="284" w:hanging="284"/>
        <w:rPr>
          <w:color w:val="1f3864"/>
          <w:sz w:val="26"/>
          <w:szCs w:val="26"/>
        </w:rPr>
      </w:pPr>
      <w:r w:rsidDel="00000000" w:rsidR="00000000" w:rsidRPr="00000000">
        <w:rPr>
          <w:color w:val="1f3864"/>
          <w:sz w:val="26"/>
          <w:szCs w:val="26"/>
          <w:rtl w:val="0"/>
        </w:rPr>
        <w:t xml:space="preserve">5.</w:t>
        <w:tab/>
        <w:t xml:space="preserve">Building Envelope. (Lead: Bill Rose and David Boehm)</w:t>
      </w:r>
    </w:p>
    <w:p w:rsidR="00000000" w:rsidDel="00000000" w:rsidP="00000000" w:rsidRDefault="00000000" w:rsidRPr="00000000" w14:paraId="0000001B">
      <w:pPr>
        <w:pStyle w:val="Heading3"/>
        <w:numPr>
          <w:ilvl w:val="0"/>
          <w:numId w:val="6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Meet with F&amp;S (Tom Keller, David Boehm, Donna McClure, others?)</w:t>
      </w:r>
    </w:p>
    <w:p w:rsidR="00000000" w:rsidDel="00000000" w:rsidP="00000000" w:rsidRDefault="00000000" w:rsidRPr="00000000" w14:paraId="0000001C">
      <w:pPr>
        <w:pStyle w:val="Heading3"/>
        <w:numPr>
          <w:ilvl w:val="0"/>
          <w:numId w:val="6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Decide on next steps: Away training, training on campus, workshop,…?</w:t>
      </w:r>
    </w:p>
    <w:p w:rsidR="00000000" w:rsidDel="00000000" w:rsidP="00000000" w:rsidRDefault="00000000" w:rsidRPr="00000000" w14:paraId="0000001D">
      <w:pPr>
        <w:pStyle w:val="Heading3"/>
        <w:numPr>
          <w:ilvl w:val="0"/>
          <w:numId w:val="6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Begin airtightening on one or more existing campus buildings.</w:t>
      </w:r>
    </w:p>
    <w:p w:rsidR="00000000" w:rsidDel="00000000" w:rsidP="00000000" w:rsidRDefault="00000000" w:rsidRPr="00000000" w14:paraId="0000001E">
      <w:pPr>
        <w:pStyle w:val="Heading3"/>
        <w:rPr>
          <w:color w:val="1f386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ind w:left="284" w:hanging="284"/>
        <w:rPr>
          <w:color w:val="1f3864"/>
          <w:sz w:val="26"/>
          <w:szCs w:val="26"/>
        </w:rPr>
      </w:pPr>
      <w:r w:rsidDel="00000000" w:rsidR="00000000" w:rsidRPr="00000000">
        <w:rPr>
          <w:color w:val="1f3864"/>
          <w:sz w:val="26"/>
          <w:szCs w:val="26"/>
          <w:rtl w:val="0"/>
        </w:rPr>
        <w:t xml:space="preserve">6.</w:t>
        <w:tab/>
        <w:t xml:space="preserve">Building Codes. (Lead: Yun Yi?)</w:t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5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Finalize Sarthak Prasad survey.</w:t>
      </w:r>
    </w:p>
    <w:p w:rsidR="00000000" w:rsidDel="00000000" w:rsidP="00000000" w:rsidRDefault="00000000" w:rsidRPr="00000000" w14:paraId="00000021">
      <w:pPr>
        <w:pStyle w:val="Heading3"/>
        <w:numPr>
          <w:ilvl w:val="0"/>
          <w:numId w:val="5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Compare actual EUI to code-compliant EUI for recent buildings.</w:t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5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Develop watchdog or other mechanism to help ensure code compliance.</w:t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5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Begin watchdog intervention promptly, on buildings currently in the works.</w:t>
      </w:r>
    </w:p>
    <w:p w:rsidR="00000000" w:rsidDel="00000000" w:rsidP="00000000" w:rsidRDefault="00000000" w:rsidRPr="00000000" w14:paraId="00000024">
      <w:pPr>
        <w:spacing w:after="0" w:before="40" w:lineRule="auto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ind w:left="284" w:hanging="284"/>
        <w:rPr>
          <w:color w:val="1f3864"/>
          <w:sz w:val="26"/>
          <w:szCs w:val="26"/>
        </w:rPr>
      </w:pPr>
      <w:r w:rsidDel="00000000" w:rsidR="00000000" w:rsidRPr="00000000">
        <w:rPr>
          <w:color w:val="1f3864"/>
          <w:sz w:val="26"/>
          <w:szCs w:val="26"/>
          <w:rtl w:val="0"/>
        </w:rPr>
        <w:t xml:space="preserve">7.</w:t>
        <w:tab/>
        <w:t xml:space="preserve">Campus square footage: (Lead: Bill Rose and Andrew Stumpf)</w:t>
      </w:r>
    </w:p>
    <w:p w:rsidR="00000000" w:rsidDel="00000000" w:rsidP="00000000" w:rsidRDefault="00000000" w:rsidRPr="00000000" w14:paraId="00000026">
      <w:pPr>
        <w:pStyle w:val="Heading3"/>
        <w:numPr>
          <w:ilvl w:val="0"/>
          <w:numId w:val="3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Explore enforcement options.</w:t>
      </w:r>
    </w:p>
    <w:p w:rsidR="00000000" w:rsidDel="00000000" w:rsidP="00000000" w:rsidRDefault="00000000" w:rsidRPr="00000000" w14:paraId="00000027">
      <w:pPr>
        <w:pStyle w:val="Heading3"/>
        <w:numPr>
          <w:ilvl w:val="0"/>
          <w:numId w:val="3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Develop recommendation.</w:t>
      </w:r>
    </w:p>
    <w:p w:rsidR="00000000" w:rsidDel="00000000" w:rsidP="00000000" w:rsidRDefault="00000000" w:rsidRPr="00000000" w14:paraId="00000028">
      <w:pPr>
        <w:pStyle w:val="Heading2"/>
        <w:spacing w:before="0" w:lineRule="auto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ind w:left="284" w:hanging="284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8.</w:t>
        <w:tab/>
        <w:t xml:space="preserve">Renewables. Leads: (David Rivera-Kohr, Tim Mies and Tugce Baser?)</w:t>
      </w:r>
    </w:p>
    <w:p w:rsidR="00000000" w:rsidDel="00000000" w:rsidP="00000000" w:rsidRDefault="00000000" w:rsidRPr="00000000" w14:paraId="0000002A">
      <w:pPr>
        <w:pStyle w:val="Heading3"/>
        <w:numPr>
          <w:ilvl w:val="0"/>
          <w:numId w:val="3"/>
        </w:numPr>
        <w:ind w:left="709" w:hanging="283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Make recommendation on biofuels.</w:t>
      </w:r>
    </w:p>
    <w:p w:rsidR="00000000" w:rsidDel="00000000" w:rsidP="00000000" w:rsidRDefault="00000000" w:rsidRPr="00000000" w14:paraId="0000002B">
      <w:pPr>
        <w:pStyle w:val="Heading3"/>
        <w:numPr>
          <w:ilvl w:val="0"/>
          <w:numId w:val="3"/>
        </w:numPr>
        <w:ind w:left="709" w:hanging="283"/>
        <w:rPr>
          <w:color w:val="1f3864"/>
        </w:rPr>
      </w:pPr>
      <w:bookmarkStart w:colFirst="0" w:colLast="0" w:name="_heading=h.gjdgxs" w:id="0"/>
      <w:bookmarkEnd w:id="0"/>
      <w:r w:rsidDel="00000000" w:rsidR="00000000" w:rsidRPr="00000000">
        <w:rPr>
          <w:color w:val="1f3864"/>
          <w:rtl w:val="0"/>
        </w:rPr>
        <w:t xml:space="preserve">Make recommendation on ground-source thermal energy and storage with assistance from the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color w:val="1f3864"/>
          <w:rtl w:val="0"/>
        </w:rPr>
        <w:t xml:space="preserve">Illinois Water Resources Center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1f3864"/>
          <w:rtl w:val="0"/>
        </w:rPr>
        <w:t xml:space="preserve">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drew Stumpf" w:id="0" w:date="2019-12-30T13:40:00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IWRC (under Director Yu-Feng Lin) will lead a techno-economic investigation of current geothermal energy systems at UIUC. The study is funded through iSEE’s Living Laboratory program. Tugce is a Co-PI on the project.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7630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76306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604C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2604CC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7630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6306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604CC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604CC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757D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757D4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75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757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75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757D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757D4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726D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0nFoCE9/nhHi3aFhkKeV6xZrQ==">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2019-12-30T20:17:00Z</dcterms:created>
  <dc:creator>Rose, William B</dc:creator>
</cp:coreProperties>
</file>